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0"/>
        <w:shd w:val="clear"/>
        <w:spacing w:line="240" w:lineRule="auto"/>
        <w:jc w:val="center"/>
        <w:rPr>
          <w:rFonts w:hint="eastAsia"/>
          <w:color w:val="000000"/>
          <w:sz w:val="20"/>
          <w:szCs w:val="20"/>
          <w:lang w:eastAsia="zh-CN"/>
        </w:rPr>
      </w:pPr>
      <w:bookmarkStart w:id="0" w:name="_Toc107285992"/>
    </w:p>
    <w:p>
      <w:pPr>
        <w:pStyle w:val="250"/>
        <w:shd w:val="clear"/>
        <w:spacing w:line="240" w:lineRule="auto"/>
        <w:jc w:val="center"/>
        <w:rPr>
          <w:rFonts w:ascii="仿宋" w:hAnsi="仿宋" w:eastAsia="仿宋" w:cs="仿宋"/>
          <w:b/>
          <w:bCs/>
          <w:color w:val="auto"/>
          <w:sz w:val="52"/>
          <w:szCs w:val="52"/>
          <w:lang w:val="en-US"/>
        </w:rPr>
      </w:pPr>
      <w:r>
        <w:rPr>
          <w:rFonts w:hint="eastAsia" w:ascii="仿宋" w:hAnsi="仿宋" w:eastAsia="仿宋" w:cs="仿宋"/>
          <w:b/>
          <w:bCs/>
          <w:color w:val="auto"/>
          <w:spacing w:val="3"/>
          <w:sz w:val="52"/>
          <w:szCs w:val="52"/>
          <w:u w:val="none"/>
          <w:lang w:val="en-US" w:eastAsia="zh-CN"/>
        </w:rPr>
        <w:t>年产1500万平方米特种薄膜、生物医疗薄膜及功能涂层研发生产项目</w:t>
      </w:r>
    </w:p>
    <w:p>
      <w:pPr>
        <w:pStyle w:val="250"/>
        <w:shd w:val="clear"/>
        <w:spacing w:line="240" w:lineRule="auto"/>
        <w:jc w:val="center"/>
        <w:rPr>
          <w:rFonts w:ascii="仿宋" w:hAnsi="仿宋" w:eastAsia="仿宋" w:cs="仿宋"/>
          <w:b/>
          <w:bCs/>
          <w:color w:val="000000"/>
          <w:sz w:val="52"/>
          <w:szCs w:val="52"/>
          <w:lang w:val="en-US"/>
        </w:rPr>
      </w:pPr>
    </w:p>
    <w:p>
      <w:pPr>
        <w:pStyle w:val="250"/>
        <w:shd w:val="clear"/>
        <w:spacing w:line="240" w:lineRule="auto"/>
        <w:jc w:val="center"/>
        <w:rPr>
          <w:rFonts w:ascii="仿宋" w:hAnsi="仿宋" w:eastAsia="仿宋" w:cs="仿宋"/>
          <w:b/>
          <w:bCs/>
          <w:color w:val="000000"/>
          <w:sz w:val="52"/>
          <w:szCs w:val="52"/>
          <w:lang w:val="en-US"/>
        </w:rPr>
      </w:pPr>
    </w:p>
    <w:p>
      <w:pPr>
        <w:shd w:val="clear"/>
        <w:spacing w:line="360" w:lineRule="auto"/>
        <w:jc w:val="center"/>
        <w:rPr>
          <w:rFonts w:ascii="黑体" w:hAnsi="黑体" w:eastAsia="黑体" w:cs="黑体"/>
          <w:b/>
          <w:bCs/>
          <w:sz w:val="52"/>
          <w:szCs w:val="52"/>
        </w:rPr>
      </w:pPr>
      <w:r>
        <w:rPr>
          <w:rFonts w:hint="eastAsia" w:ascii="黑体" w:hAnsi="黑体" w:eastAsia="黑体" w:cs="黑体"/>
          <w:b/>
          <w:bCs/>
          <w:sz w:val="52"/>
          <w:szCs w:val="52"/>
        </w:rPr>
        <w:t>施</w:t>
      </w:r>
    </w:p>
    <w:p>
      <w:pPr>
        <w:shd w:val="clear"/>
        <w:spacing w:line="360" w:lineRule="auto"/>
        <w:jc w:val="center"/>
        <w:rPr>
          <w:rFonts w:ascii="黑体" w:hAnsi="黑体" w:eastAsia="黑体" w:cs="黑体"/>
          <w:b/>
          <w:bCs/>
          <w:sz w:val="52"/>
          <w:szCs w:val="52"/>
        </w:rPr>
      </w:pPr>
      <w:r>
        <w:rPr>
          <w:rFonts w:hint="eastAsia" w:ascii="黑体" w:hAnsi="黑体" w:eastAsia="黑体" w:cs="黑体"/>
          <w:b/>
          <w:bCs/>
          <w:sz w:val="52"/>
          <w:szCs w:val="52"/>
        </w:rPr>
        <w:t>工</w:t>
      </w:r>
    </w:p>
    <w:p>
      <w:pPr>
        <w:shd w:val="clear"/>
        <w:spacing w:line="360" w:lineRule="auto"/>
        <w:jc w:val="center"/>
        <w:rPr>
          <w:rFonts w:ascii="黑体" w:hAnsi="黑体" w:eastAsia="黑体" w:cs="黑体"/>
          <w:b/>
          <w:bCs/>
          <w:sz w:val="52"/>
          <w:szCs w:val="52"/>
        </w:rPr>
      </w:pPr>
      <w:r>
        <w:rPr>
          <w:rFonts w:hint="eastAsia" w:ascii="黑体" w:hAnsi="黑体" w:eastAsia="黑体" w:cs="黑体"/>
          <w:b/>
          <w:bCs/>
          <w:sz w:val="52"/>
          <w:szCs w:val="52"/>
        </w:rPr>
        <w:t>组</w:t>
      </w:r>
    </w:p>
    <w:p>
      <w:pPr>
        <w:shd w:val="clear"/>
        <w:spacing w:line="360" w:lineRule="auto"/>
        <w:jc w:val="center"/>
        <w:rPr>
          <w:rFonts w:ascii="黑体" w:hAnsi="黑体" w:eastAsia="黑体" w:cs="黑体"/>
          <w:b/>
          <w:bCs/>
          <w:sz w:val="52"/>
          <w:szCs w:val="52"/>
        </w:rPr>
      </w:pPr>
      <w:r>
        <w:rPr>
          <w:rFonts w:hint="eastAsia" w:ascii="黑体" w:hAnsi="黑体" w:eastAsia="黑体" w:cs="黑体"/>
          <w:b/>
          <w:bCs/>
          <w:sz w:val="52"/>
          <w:szCs w:val="52"/>
        </w:rPr>
        <w:t>织</w:t>
      </w:r>
    </w:p>
    <w:p>
      <w:pPr>
        <w:shd w:val="clear"/>
        <w:spacing w:line="360" w:lineRule="auto"/>
        <w:jc w:val="center"/>
        <w:rPr>
          <w:rFonts w:ascii="黑体" w:hAnsi="黑体" w:eastAsia="黑体" w:cs="黑体"/>
          <w:b/>
          <w:bCs/>
          <w:sz w:val="52"/>
          <w:szCs w:val="52"/>
        </w:rPr>
      </w:pPr>
      <w:r>
        <w:rPr>
          <w:rFonts w:hint="eastAsia" w:ascii="黑体" w:hAnsi="黑体" w:eastAsia="黑体" w:cs="黑体"/>
          <w:b/>
          <w:bCs/>
          <w:sz w:val="52"/>
          <w:szCs w:val="52"/>
        </w:rPr>
        <w:t>设</w:t>
      </w:r>
    </w:p>
    <w:p>
      <w:pPr>
        <w:shd w:val="clear"/>
        <w:spacing w:line="360" w:lineRule="auto"/>
        <w:jc w:val="center"/>
        <w:rPr>
          <w:rFonts w:ascii="宋体" w:hAnsi="宋体"/>
          <w:b/>
          <w:bCs/>
          <w:sz w:val="44"/>
          <w:szCs w:val="32"/>
        </w:rPr>
      </w:pPr>
      <w:r>
        <w:rPr>
          <w:rFonts w:hint="eastAsia" w:ascii="黑体" w:hAnsi="黑体" w:eastAsia="黑体" w:cs="黑体"/>
          <w:b/>
          <w:bCs/>
          <w:sz w:val="52"/>
          <w:szCs w:val="52"/>
        </w:rPr>
        <w:t>计</w:t>
      </w:r>
    </w:p>
    <w:p>
      <w:pPr>
        <w:shd w:val="clear"/>
        <w:snapToGrid w:val="0"/>
        <w:spacing w:line="360" w:lineRule="auto"/>
        <w:jc w:val="center"/>
        <w:rPr>
          <w:rFonts w:ascii="宋体" w:hAnsi="宋体"/>
          <w:b/>
          <w:bCs/>
          <w:sz w:val="44"/>
          <w:szCs w:val="32"/>
        </w:rPr>
      </w:pPr>
    </w:p>
    <w:p>
      <w:pPr>
        <w:shd w:val="clear"/>
        <w:snapToGrid w:val="0"/>
        <w:spacing w:line="360" w:lineRule="auto"/>
        <w:jc w:val="center"/>
      </w:pPr>
    </w:p>
    <w:p>
      <w:pPr>
        <w:shd w:val="clear"/>
        <w:snapToGrid w:val="0"/>
        <w:spacing w:line="360" w:lineRule="auto"/>
        <w:jc w:val="center"/>
        <w:rPr>
          <w:rFonts w:ascii="宋体" w:hAnsi="宋体"/>
          <w:b/>
          <w:bCs/>
          <w:sz w:val="44"/>
          <w:szCs w:val="32"/>
        </w:rPr>
      </w:pPr>
      <w:r>
        <w:drawing>
          <wp:inline distT="0" distB="0" distL="0" distR="0">
            <wp:extent cx="4424045" cy="757555"/>
            <wp:effectExtent l="0" t="0" r="14605" b="4445"/>
            <wp:docPr id="1422" name="图片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 name="图片 14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424045" cy="757895"/>
                    </a:xfrm>
                    <a:prstGeom prst="rect">
                      <a:avLst/>
                    </a:prstGeom>
                    <a:noFill/>
                    <a:ln>
                      <a:noFill/>
                    </a:ln>
                  </pic:spPr>
                </pic:pic>
              </a:graphicData>
            </a:graphic>
          </wp:inline>
        </w:drawing>
      </w:r>
    </w:p>
    <w:p>
      <w:pPr>
        <w:shd w:val="clear"/>
        <w:snapToGrid w:val="0"/>
        <w:spacing w:line="360" w:lineRule="auto"/>
        <w:jc w:val="center"/>
        <w:rPr>
          <w:rFonts w:ascii="宋体" w:hAnsi="宋体"/>
          <w:b/>
          <w:bCs/>
          <w:color w:val="auto"/>
          <w:sz w:val="44"/>
          <w:szCs w:val="32"/>
        </w:rPr>
      </w:pPr>
      <w:r>
        <w:rPr>
          <w:rFonts w:hint="eastAsia" w:ascii="宋体" w:hAnsi="宋体"/>
          <w:b/>
          <w:bCs/>
          <w:color w:val="auto"/>
          <w:sz w:val="44"/>
          <w:szCs w:val="32"/>
          <w:lang w:val="en-US" w:eastAsia="zh-CN"/>
        </w:rPr>
        <w:t>2024</w:t>
      </w:r>
      <w:r>
        <w:rPr>
          <w:rFonts w:hint="eastAsia" w:ascii="宋体" w:hAnsi="宋体"/>
          <w:b/>
          <w:bCs/>
          <w:color w:val="auto"/>
          <w:sz w:val="44"/>
          <w:szCs w:val="32"/>
        </w:rPr>
        <w:t>年</w:t>
      </w:r>
      <w:r>
        <w:rPr>
          <w:rFonts w:hint="eastAsia" w:ascii="宋体" w:hAnsi="宋体"/>
          <w:b/>
          <w:bCs/>
          <w:color w:val="auto"/>
          <w:sz w:val="44"/>
          <w:szCs w:val="32"/>
          <w:lang w:val="en-US" w:eastAsia="zh-CN"/>
        </w:rPr>
        <w:t xml:space="preserve"> </w:t>
      </w:r>
      <w:r>
        <w:rPr>
          <w:rFonts w:hint="eastAsia" w:ascii="宋体" w:hAnsi="宋体"/>
          <w:b/>
          <w:bCs/>
          <w:color w:val="auto"/>
          <w:sz w:val="44"/>
          <w:szCs w:val="32"/>
          <w:u w:val="none"/>
          <w:lang w:val="en-US" w:eastAsia="zh-CN"/>
        </w:rPr>
        <w:t>11</w:t>
      </w:r>
      <w:r>
        <w:rPr>
          <w:rFonts w:hint="eastAsia" w:ascii="宋体" w:hAnsi="宋体"/>
          <w:b/>
          <w:bCs/>
          <w:color w:val="auto"/>
          <w:sz w:val="44"/>
          <w:szCs w:val="32"/>
        </w:rPr>
        <w:t>月</w:t>
      </w:r>
    </w:p>
    <w:p>
      <w:pPr>
        <w:pageBreakBefore/>
        <w:shd w:val="clear"/>
        <w:spacing w:line="480" w:lineRule="auto"/>
        <w:jc w:val="center"/>
        <w:rPr>
          <w:rFonts w:ascii="宋体" w:hAnsi="宋体"/>
          <w:b/>
          <w:bCs/>
          <w:kern w:val="32"/>
          <w:sz w:val="28"/>
          <w:szCs w:val="18"/>
        </w:rPr>
        <w:sectPr>
          <w:headerReference r:id="rId5" w:type="default"/>
          <w:footerReference r:id="rId6" w:type="default"/>
          <w:type w:val="continuous"/>
          <w:pgSz w:w="11906" w:h="16838"/>
          <w:pgMar w:top="1440" w:right="1304" w:bottom="1440" w:left="1304" w:header="851" w:footer="992" w:gutter="0"/>
          <w:pgNumType w:start="1"/>
          <w:cols w:space="425" w:num="1"/>
          <w:docGrid w:type="lines" w:linePitch="312" w:charSpace="0"/>
        </w:sectPr>
      </w:pPr>
    </w:p>
    <w:p>
      <w:pPr>
        <w:pageBreakBefore/>
        <w:shd w:val="clear"/>
        <w:spacing w:line="480" w:lineRule="auto"/>
        <w:jc w:val="center"/>
        <w:rPr>
          <w:rFonts w:hint="eastAsia" w:ascii="黑体" w:hAnsi="黑体" w:eastAsia="黑体" w:cs="黑体"/>
          <w:b/>
          <w:bCs/>
          <w:kern w:val="32"/>
          <w:sz w:val="32"/>
          <w:szCs w:val="32"/>
        </w:rPr>
      </w:pPr>
      <w:r>
        <w:rPr>
          <w:rFonts w:hint="eastAsia" w:ascii="黑体" w:hAnsi="黑体" w:eastAsia="黑体" w:cs="黑体"/>
          <w:b/>
          <w:bCs/>
          <w:kern w:val="32"/>
          <w:sz w:val="32"/>
          <w:szCs w:val="32"/>
        </w:rPr>
        <w:t>目</w:t>
      </w:r>
      <w:r>
        <w:rPr>
          <w:rFonts w:hint="eastAsia" w:ascii="黑体" w:hAnsi="黑体" w:eastAsia="黑体" w:cs="黑体"/>
          <w:b/>
          <w:bCs/>
          <w:kern w:val="32"/>
          <w:sz w:val="32"/>
          <w:szCs w:val="32"/>
          <w:lang w:val="en-US" w:eastAsia="zh-CN"/>
        </w:rPr>
        <w:t xml:space="preserve">  </w:t>
      </w:r>
      <w:r>
        <w:rPr>
          <w:rFonts w:hint="eastAsia" w:ascii="黑体" w:hAnsi="黑体" w:eastAsia="黑体" w:cs="黑体"/>
          <w:b/>
          <w:bCs/>
          <w:kern w:val="32"/>
          <w:sz w:val="32"/>
          <w:szCs w:val="32"/>
        </w:rPr>
        <w:t>录</w:t>
      </w:r>
    </w:p>
    <w:p>
      <w:pPr>
        <w:pStyle w:val="36"/>
        <w:tabs>
          <w:tab w:val="right" w:leader="dot" w:pos="9298"/>
          <w:tab w:val="clear" w:pos="9388"/>
        </w:tabs>
      </w:pPr>
      <w:r>
        <w:rPr>
          <w:rFonts w:ascii="宋体" w:hAnsi="宋体"/>
          <w:b/>
          <w:bCs/>
          <w:color w:val="000000" w:themeColor="text1"/>
          <w:sz w:val="44"/>
          <w14:textFill>
            <w14:solidFill>
              <w14:schemeClr w14:val="tx1"/>
            </w14:solidFill>
          </w14:textFill>
        </w:rPr>
        <w:fldChar w:fldCharType="begin"/>
      </w:r>
      <w:r>
        <w:rPr>
          <w:rFonts w:ascii="宋体" w:hAnsi="宋体"/>
          <w:b/>
          <w:bCs/>
          <w:color w:val="000000" w:themeColor="text1"/>
          <w:sz w:val="44"/>
          <w14:textFill>
            <w14:solidFill>
              <w14:schemeClr w14:val="tx1"/>
            </w14:solidFill>
          </w14:textFill>
        </w:rPr>
        <w:instrText xml:space="preserve"> TOC \o "1-2" \h \z </w:instrText>
      </w:r>
      <w:r>
        <w:rPr>
          <w:rFonts w:ascii="宋体" w:hAnsi="宋体"/>
          <w:b/>
          <w:bCs/>
          <w:color w:val="000000" w:themeColor="text1"/>
          <w:sz w:val="44"/>
          <w14:textFill>
            <w14:solidFill>
              <w14:schemeClr w14:val="tx1"/>
            </w14:solidFill>
          </w14:textFill>
        </w:rPr>
        <w:fldChar w:fldCharType="separate"/>
      </w:r>
      <w:r>
        <w:rPr>
          <w:rFonts w:ascii="宋体" w:hAnsi="宋体"/>
          <w:bCs/>
          <w:color w:val="000000" w:themeColor="text1"/>
          <w14:textFill>
            <w14:solidFill>
              <w14:schemeClr w14:val="tx1"/>
            </w14:solidFill>
          </w14:textFill>
        </w:rPr>
        <w:fldChar w:fldCharType="begin"/>
      </w:r>
      <w:r>
        <w:rPr>
          <w:rFonts w:ascii="宋体" w:hAnsi="宋体"/>
          <w:bCs/>
        </w:rPr>
        <w:instrText xml:space="preserve"> HYPERLINK \l _Toc25960 </w:instrText>
      </w:r>
      <w:r>
        <w:rPr>
          <w:rFonts w:ascii="宋体" w:hAnsi="宋体"/>
          <w:bCs/>
        </w:rPr>
        <w:fldChar w:fldCharType="separate"/>
      </w:r>
      <w:r>
        <w:rPr>
          <w:rFonts w:hint="eastAsia" w:ascii="Times New Roman" w:hAnsi="Times New Roman" w:eastAsia="宋体" w:cs="Times New Roman"/>
          <w:bCs/>
          <w:kern w:val="2"/>
          <w:szCs w:val="24"/>
          <w:lang w:val="en-US" w:eastAsia="zh-CN" w:bidi="ar-SA"/>
        </w:rPr>
        <w:t xml:space="preserve"> 第一章  工程概况</w:t>
      </w:r>
      <w:r>
        <w:tab/>
      </w:r>
      <w:r>
        <w:fldChar w:fldCharType="begin"/>
      </w:r>
      <w:r>
        <w:instrText xml:space="preserve"> PAGEREF _Toc25960 \h </w:instrText>
      </w:r>
      <w:r>
        <w:fldChar w:fldCharType="separate"/>
      </w:r>
      <w:r>
        <w:t>5</w:t>
      </w:r>
      <w:r>
        <w:fldChar w:fldCharType="end"/>
      </w:r>
      <w:r>
        <w:rPr>
          <w:rFonts w:ascii="宋体" w:hAnsi="宋体"/>
          <w:bCs/>
          <w:color w:val="000000" w:themeColor="text1"/>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_Toc6856 </w:instrText>
      </w:r>
      <w:r>
        <w:rPr>
          <w:rFonts w:ascii="宋体" w:hAnsi="宋体"/>
          <w:bCs/>
          <w:kern w:val="32"/>
        </w:rPr>
        <w:fldChar w:fldCharType="separate"/>
      </w:r>
      <w:r>
        <w:rPr>
          <w:rFonts w:hint="eastAsia"/>
        </w:rPr>
        <w:t>第一节</w:t>
      </w:r>
      <w:r>
        <w:rPr>
          <w:rFonts w:hint="eastAsia"/>
          <w:lang w:val="en-US" w:eastAsia="zh-CN"/>
        </w:rPr>
        <w:t xml:space="preserve">  </w:t>
      </w:r>
      <w:r>
        <w:rPr>
          <w:rFonts w:hint="eastAsia"/>
        </w:rPr>
        <w:t>工程简介</w:t>
      </w:r>
      <w:r>
        <w:tab/>
      </w:r>
      <w:r>
        <w:fldChar w:fldCharType="begin"/>
      </w:r>
      <w:r>
        <w:instrText xml:space="preserve"> PAGEREF _Toc6856 \h </w:instrText>
      </w:r>
      <w:r>
        <w:fldChar w:fldCharType="separate"/>
      </w:r>
      <w:r>
        <w:t>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_Toc19952 </w:instrText>
      </w:r>
      <w:r>
        <w:rPr>
          <w:rFonts w:ascii="宋体" w:hAnsi="宋体"/>
          <w:bCs/>
          <w:kern w:val="32"/>
        </w:rPr>
        <w:fldChar w:fldCharType="separate"/>
      </w:r>
      <w:r>
        <w:rPr>
          <w:rFonts w:hint="eastAsia"/>
        </w:rPr>
        <w:t>第二节  设计概况</w:t>
      </w:r>
      <w:r>
        <w:tab/>
      </w:r>
      <w:r>
        <w:fldChar w:fldCharType="begin"/>
      </w:r>
      <w:r>
        <w:instrText xml:space="preserve"> PAGEREF _Toc19952 \h </w:instrText>
      </w:r>
      <w:r>
        <w:fldChar w:fldCharType="separate"/>
      </w:r>
      <w:r>
        <w:t>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_Toc9167 </w:instrText>
      </w:r>
      <w:r>
        <w:rPr>
          <w:rFonts w:ascii="宋体" w:hAnsi="宋体"/>
          <w:bCs/>
          <w:kern w:val="32"/>
        </w:rPr>
        <w:fldChar w:fldCharType="separate"/>
      </w:r>
      <w:r>
        <w:rPr>
          <w:rFonts w:hint="eastAsia"/>
          <w:lang w:val="en-US" w:eastAsia="zh-CN"/>
        </w:rPr>
        <w:t>第三节  周边环境</w:t>
      </w:r>
      <w:r>
        <w:tab/>
      </w:r>
      <w:r>
        <w:fldChar w:fldCharType="begin"/>
      </w:r>
      <w:r>
        <w:instrText xml:space="preserve"> PAGEREF _Toc9167 \h </w:instrText>
      </w:r>
      <w:r>
        <w:fldChar w:fldCharType="separate"/>
      </w:r>
      <w:r>
        <w:t>18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_Toc22687 </w:instrText>
      </w:r>
      <w:r>
        <w:rPr>
          <w:rFonts w:ascii="宋体" w:hAnsi="宋体"/>
          <w:bCs/>
          <w:kern w:val="32"/>
        </w:rPr>
        <w:fldChar w:fldCharType="separate"/>
      </w:r>
      <w:r>
        <w:rPr>
          <w:rFonts w:hint="eastAsia"/>
          <w:lang w:val="en-US" w:eastAsia="zh-CN"/>
        </w:rPr>
        <w:t>第四节  风险辨识与分级</w:t>
      </w:r>
      <w:r>
        <w:tab/>
      </w:r>
      <w:r>
        <w:fldChar w:fldCharType="begin"/>
      </w:r>
      <w:r>
        <w:instrText xml:space="preserve"> PAGEREF _Toc22687 \h </w:instrText>
      </w:r>
      <w:r>
        <w:fldChar w:fldCharType="separate"/>
      </w:r>
      <w:r>
        <w:t>18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_Toc18840 </w:instrText>
      </w:r>
      <w:r>
        <w:rPr>
          <w:rFonts w:ascii="宋体" w:hAnsi="宋体"/>
          <w:bCs/>
          <w:kern w:val="32"/>
        </w:rPr>
        <w:fldChar w:fldCharType="separate"/>
      </w:r>
      <w:r>
        <w:rPr>
          <w:rFonts w:hint="eastAsia"/>
          <w:lang w:val="en-US" w:eastAsia="zh-CN"/>
        </w:rPr>
        <w:t xml:space="preserve">第五节  </w:t>
      </w:r>
      <w:r>
        <w:rPr>
          <w:rFonts w:hint="eastAsia"/>
        </w:rPr>
        <w:t>施工难点</w:t>
      </w:r>
      <w:r>
        <w:rPr>
          <w:rFonts w:hint="eastAsia"/>
          <w:lang w:val="en-US" w:eastAsia="zh-CN"/>
        </w:rPr>
        <w:t>及拟定</w:t>
      </w:r>
      <w:r>
        <w:rPr>
          <w:rFonts w:hint="eastAsia"/>
        </w:rPr>
        <w:t>对策</w:t>
      </w:r>
      <w:r>
        <w:tab/>
      </w:r>
      <w:r>
        <w:fldChar w:fldCharType="begin"/>
      </w:r>
      <w:r>
        <w:instrText xml:space="preserve"> PAGEREF _Toc18840 \h </w:instrText>
      </w:r>
      <w:r>
        <w:fldChar w:fldCharType="separate"/>
      </w:r>
      <w:r>
        <w:t>21</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_Toc28768 </w:instrText>
      </w:r>
      <w:r>
        <w:rPr>
          <w:rFonts w:ascii="宋体" w:hAnsi="宋体"/>
          <w:bCs/>
          <w:kern w:val="32"/>
        </w:rPr>
        <w:fldChar w:fldCharType="separate"/>
      </w:r>
      <w:r>
        <w:rPr>
          <w:rFonts w:hint="eastAsia"/>
        </w:rPr>
        <w:t>第二章</w:t>
      </w:r>
      <w:r>
        <w:rPr>
          <w:rFonts w:hint="eastAsia"/>
          <w:lang w:val="en-US" w:eastAsia="zh-CN"/>
        </w:rPr>
        <w:t xml:space="preserve">  </w:t>
      </w:r>
      <w:r>
        <w:rPr>
          <w:rFonts w:hint="eastAsia"/>
        </w:rPr>
        <w:t>编制依据</w:t>
      </w:r>
      <w:r>
        <w:tab/>
      </w:r>
      <w:r>
        <w:fldChar w:fldCharType="begin"/>
      </w:r>
      <w:r>
        <w:instrText xml:space="preserve"> PAGEREF _Toc28768 \h </w:instrText>
      </w:r>
      <w:r>
        <w:fldChar w:fldCharType="separate"/>
      </w:r>
      <w:r>
        <w:t>25</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_Toc22299 </w:instrText>
      </w:r>
      <w:r>
        <w:rPr>
          <w:rFonts w:ascii="宋体" w:hAnsi="宋体"/>
          <w:bCs/>
          <w:kern w:val="32"/>
        </w:rPr>
        <w:fldChar w:fldCharType="separate"/>
      </w:r>
      <w:r>
        <w:rPr>
          <w:rFonts w:hint="eastAsia"/>
        </w:rPr>
        <w:t>第三章  施工部署</w:t>
      </w:r>
      <w:r>
        <w:tab/>
      </w:r>
      <w:r>
        <w:fldChar w:fldCharType="begin"/>
      </w:r>
      <w:r>
        <w:instrText xml:space="preserve"> PAGEREF _Toc22299 \h </w:instrText>
      </w:r>
      <w:r>
        <w:fldChar w:fldCharType="separate"/>
      </w:r>
      <w:r>
        <w:t>27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_Toc31009 </w:instrText>
      </w:r>
      <w:r>
        <w:rPr>
          <w:rFonts w:ascii="宋体" w:hAnsi="宋体"/>
          <w:bCs/>
          <w:kern w:val="32"/>
        </w:rPr>
        <w:fldChar w:fldCharType="separate"/>
      </w:r>
      <w:r>
        <w:rPr>
          <w:rFonts w:hint="eastAsia"/>
        </w:rPr>
        <w:t xml:space="preserve">第一节 </w:t>
      </w:r>
      <w:r>
        <w:rPr>
          <w:rFonts w:hint="eastAsia"/>
          <w:lang w:val="en-US" w:eastAsia="zh-CN"/>
        </w:rPr>
        <w:t xml:space="preserve"> </w:t>
      </w:r>
      <w:r>
        <w:rPr>
          <w:rFonts w:hint="eastAsia"/>
        </w:rPr>
        <w:t>施工准备</w:t>
      </w:r>
      <w:r>
        <w:tab/>
      </w:r>
      <w:r>
        <w:fldChar w:fldCharType="begin"/>
      </w:r>
      <w:r>
        <w:instrText xml:space="preserve"> PAGEREF _Toc31009 \h </w:instrText>
      </w:r>
      <w:r>
        <w:fldChar w:fldCharType="separate"/>
      </w:r>
      <w:r>
        <w:t>27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_Toc6683 </w:instrText>
      </w:r>
      <w:r>
        <w:rPr>
          <w:rFonts w:ascii="宋体" w:hAnsi="宋体"/>
          <w:bCs/>
          <w:kern w:val="32"/>
        </w:rPr>
        <w:fldChar w:fldCharType="separate"/>
      </w:r>
      <w:r>
        <w:rPr>
          <w:rFonts w:hint="eastAsia"/>
          <w:bCs/>
        </w:rPr>
        <w:t>第</w:t>
      </w:r>
      <w:r>
        <w:rPr>
          <w:rFonts w:hint="eastAsia"/>
          <w:bCs/>
          <w:lang w:val="en-US" w:eastAsia="zh-CN"/>
        </w:rPr>
        <w:t>二</w:t>
      </w:r>
      <w:r>
        <w:rPr>
          <w:rFonts w:hint="eastAsia"/>
          <w:bCs/>
        </w:rPr>
        <w:t xml:space="preserve">节 </w:t>
      </w:r>
      <w:r>
        <w:rPr>
          <w:rFonts w:hint="eastAsia"/>
          <w:bCs/>
          <w:lang w:val="en-US" w:eastAsia="zh-CN"/>
        </w:rPr>
        <w:t xml:space="preserve"> </w:t>
      </w:r>
      <w:r>
        <w:rPr>
          <w:rFonts w:hint="eastAsia"/>
          <w:bCs/>
        </w:rPr>
        <w:t>施工区划分</w:t>
      </w:r>
      <w:r>
        <w:tab/>
      </w:r>
      <w:r>
        <w:fldChar w:fldCharType="begin"/>
      </w:r>
      <w:r>
        <w:instrText xml:space="preserve"> PAGEREF _Toc6683 \h </w:instrText>
      </w:r>
      <w:r>
        <w:fldChar w:fldCharType="separate"/>
      </w:r>
      <w:r>
        <w:t>27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_Toc17657 </w:instrText>
      </w:r>
      <w:r>
        <w:rPr>
          <w:rFonts w:ascii="宋体" w:hAnsi="宋体"/>
          <w:bCs/>
          <w:kern w:val="32"/>
        </w:rPr>
        <w:fldChar w:fldCharType="separate"/>
      </w:r>
      <w:r>
        <w:rPr>
          <w:rFonts w:hint="eastAsia"/>
        </w:rPr>
        <w:t>第</w:t>
      </w:r>
      <w:r>
        <w:rPr>
          <w:rFonts w:hint="eastAsia"/>
          <w:lang w:val="en-US" w:eastAsia="zh-CN"/>
        </w:rPr>
        <w:t>三</w:t>
      </w:r>
      <w:r>
        <w:rPr>
          <w:rFonts w:hint="eastAsia"/>
        </w:rPr>
        <w:t xml:space="preserve">节 </w:t>
      </w:r>
      <w:r>
        <w:rPr>
          <w:rFonts w:hint="eastAsia"/>
          <w:lang w:val="en-US" w:eastAsia="zh-CN"/>
        </w:rPr>
        <w:t xml:space="preserve"> </w:t>
      </w:r>
      <w:r>
        <w:rPr>
          <w:rFonts w:hint="eastAsia"/>
        </w:rPr>
        <w:t>各阶段施工部署</w:t>
      </w:r>
      <w:r>
        <w:tab/>
      </w:r>
      <w:r>
        <w:fldChar w:fldCharType="begin"/>
      </w:r>
      <w:r>
        <w:instrText xml:space="preserve"> PAGEREF _Toc17657 \h </w:instrText>
      </w:r>
      <w:r>
        <w:fldChar w:fldCharType="separate"/>
      </w:r>
      <w:r>
        <w:t>28</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_Toc29227 </w:instrText>
      </w:r>
      <w:r>
        <w:rPr>
          <w:rFonts w:ascii="宋体" w:hAnsi="宋体"/>
          <w:bCs/>
          <w:kern w:val="32"/>
        </w:rPr>
        <w:fldChar w:fldCharType="separate"/>
      </w:r>
      <w:r>
        <w:rPr>
          <w:rFonts w:hint="eastAsia"/>
        </w:rPr>
        <w:t xml:space="preserve">第四章  </w:t>
      </w:r>
      <w:r>
        <w:rPr>
          <w:rFonts w:hint="eastAsia"/>
          <w:lang w:val="en-US" w:eastAsia="zh-CN"/>
        </w:rPr>
        <w:t>项目管理人员配置</w:t>
      </w:r>
      <w:r>
        <w:tab/>
      </w:r>
      <w:r>
        <w:fldChar w:fldCharType="begin"/>
      </w:r>
      <w:r>
        <w:instrText xml:space="preserve"> PAGEREF _Toc29227 \h </w:instrText>
      </w:r>
      <w:r>
        <w:fldChar w:fldCharType="separate"/>
      </w:r>
      <w:r>
        <w:t>34</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_Toc7073 </w:instrText>
      </w:r>
      <w:r>
        <w:rPr>
          <w:rFonts w:ascii="宋体" w:hAnsi="宋体"/>
          <w:bCs/>
          <w:kern w:val="32"/>
        </w:rPr>
        <w:fldChar w:fldCharType="separate"/>
      </w:r>
      <w:r>
        <w:rPr>
          <w:rFonts w:hint="eastAsia"/>
        </w:rPr>
        <w:t xml:space="preserve">第一节  </w:t>
      </w:r>
      <w:r>
        <w:rPr>
          <w:rFonts w:hint="eastAsia"/>
          <w:lang w:val="en-US" w:eastAsia="zh-CN"/>
        </w:rPr>
        <w:t>项目管理组织机构</w:t>
      </w:r>
      <w:r>
        <w:tab/>
      </w:r>
      <w:r>
        <w:fldChar w:fldCharType="begin"/>
      </w:r>
      <w:r>
        <w:instrText xml:space="preserve"> PAGEREF _Toc7073 \h </w:instrText>
      </w:r>
      <w:r>
        <w:fldChar w:fldCharType="separate"/>
      </w:r>
      <w:r>
        <w:t>34</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_Toc7370 </w:instrText>
      </w:r>
      <w:r>
        <w:rPr>
          <w:rFonts w:ascii="宋体" w:hAnsi="宋体"/>
          <w:bCs/>
          <w:kern w:val="32"/>
        </w:rPr>
        <w:fldChar w:fldCharType="separate"/>
      </w:r>
      <w:r>
        <w:rPr>
          <w:rFonts w:hint="eastAsia"/>
          <w:lang w:val="en-US" w:eastAsia="zh-CN"/>
        </w:rPr>
        <w:t xml:space="preserve">第二节 </w:t>
      </w:r>
      <w:r>
        <w:rPr>
          <w:rFonts w:hint="eastAsia"/>
        </w:rPr>
        <w:t xml:space="preserve"> </w:t>
      </w:r>
      <w:r>
        <w:rPr>
          <w:rFonts w:hint="eastAsia"/>
          <w:lang w:val="en-US" w:eastAsia="zh-CN"/>
        </w:rPr>
        <w:t>项目管理人员岗位职责</w:t>
      </w:r>
      <w:r>
        <w:tab/>
      </w:r>
      <w:r>
        <w:fldChar w:fldCharType="begin"/>
      </w:r>
      <w:r>
        <w:instrText xml:space="preserve"> PAGEREF _Toc7370 \h </w:instrText>
      </w:r>
      <w:r>
        <w:fldChar w:fldCharType="separate"/>
      </w:r>
      <w:r>
        <w:t>34</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_Toc11936 </w:instrText>
      </w:r>
      <w:r>
        <w:rPr>
          <w:rFonts w:ascii="宋体" w:hAnsi="宋体"/>
          <w:bCs/>
          <w:kern w:val="32"/>
        </w:rPr>
        <w:fldChar w:fldCharType="separate"/>
      </w:r>
      <w:r>
        <w:rPr>
          <w:rFonts w:hint="eastAsia"/>
        </w:rPr>
        <w:t>第</w:t>
      </w:r>
      <w:r>
        <w:rPr>
          <w:rFonts w:hint="eastAsia"/>
          <w:lang w:val="en-US" w:eastAsia="zh-CN"/>
        </w:rPr>
        <w:t>五</w:t>
      </w:r>
      <w:r>
        <w:rPr>
          <w:rFonts w:hint="eastAsia"/>
        </w:rPr>
        <w:t>章  主要分部分项工程施工技术方案</w:t>
      </w:r>
      <w:r>
        <w:tab/>
      </w:r>
      <w:r>
        <w:fldChar w:fldCharType="begin"/>
      </w:r>
      <w:r>
        <w:instrText xml:space="preserve"> PAGEREF _Toc11936 \h </w:instrText>
      </w:r>
      <w:r>
        <w:fldChar w:fldCharType="separate"/>
      </w:r>
      <w:r>
        <w:t>38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_Toc20319 </w:instrText>
      </w:r>
      <w:r>
        <w:rPr>
          <w:rFonts w:ascii="宋体" w:hAnsi="宋体"/>
          <w:bCs/>
          <w:kern w:val="32"/>
        </w:rPr>
        <w:fldChar w:fldCharType="separate"/>
      </w:r>
      <w:r>
        <w:rPr>
          <w:rFonts w:hint="eastAsia"/>
        </w:rPr>
        <w:t>第一节  施工测量方案</w:t>
      </w:r>
      <w:r>
        <w:tab/>
      </w:r>
      <w:r>
        <w:fldChar w:fldCharType="begin"/>
      </w:r>
      <w:r>
        <w:instrText xml:space="preserve"> PAGEREF _Toc20319 \h </w:instrText>
      </w:r>
      <w:r>
        <w:fldChar w:fldCharType="separate"/>
      </w:r>
      <w:r>
        <w:t>38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_Toc26577 </w:instrText>
      </w:r>
      <w:r>
        <w:rPr>
          <w:rFonts w:ascii="宋体" w:hAnsi="宋体"/>
          <w:bCs/>
          <w:kern w:val="32"/>
        </w:rPr>
        <w:fldChar w:fldCharType="separate"/>
      </w:r>
      <w:r>
        <w:rPr>
          <w:rFonts w:hint="eastAsia"/>
        </w:rPr>
        <w:t>第二节</w:t>
      </w:r>
      <w:r>
        <w:rPr>
          <w:rFonts w:hint="eastAsia"/>
          <w:lang w:val="en-US" w:eastAsia="zh-CN"/>
        </w:rPr>
        <w:t xml:space="preserve">  </w:t>
      </w:r>
      <w:r>
        <w:rPr>
          <w:rFonts w:hint="eastAsia"/>
        </w:rPr>
        <w:t>桩基工程施工方案</w:t>
      </w:r>
      <w:r>
        <w:tab/>
      </w:r>
      <w:r>
        <w:fldChar w:fldCharType="begin"/>
      </w:r>
      <w:r>
        <w:instrText xml:space="preserve"> PAGEREF _Toc26577 \h </w:instrText>
      </w:r>
      <w:r>
        <w:fldChar w:fldCharType="separate"/>
      </w:r>
      <w:r>
        <w:t>45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_Toc30239 </w:instrText>
      </w:r>
      <w:r>
        <w:rPr>
          <w:rFonts w:ascii="宋体" w:hAnsi="宋体"/>
          <w:bCs/>
          <w:kern w:val="32"/>
        </w:rPr>
        <w:fldChar w:fldCharType="separate"/>
      </w:r>
      <w:r>
        <w:rPr>
          <w:rFonts w:hint="eastAsia"/>
        </w:rPr>
        <w:t xml:space="preserve">第三节 </w:t>
      </w:r>
      <w:r>
        <w:t xml:space="preserve"> </w:t>
      </w:r>
      <w:r>
        <w:rPr>
          <w:rFonts w:hint="eastAsia"/>
          <w:lang w:eastAsia="zh-CN"/>
        </w:rPr>
        <w:t>基坑围护及挖土工程</w:t>
      </w:r>
      <w:r>
        <w:rPr>
          <w:rFonts w:hint="eastAsia"/>
        </w:rPr>
        <w:t>施工方案</w:t>
      </w:r>
      <w:r>
        <w:tab/>
      </w:r>
      <w:r>
        <w:fldChar w:fldCharType="begin"/>
      </w:r>
      <w:r>
        <w:instrText xml:space="preserve"> PAGEREF _Toc30239 \h </w:instrText>
      </w:r>
      <w:r>
        <w:fldChar w:fldCharType="separate"/>
      </w:r>
      <w:r>
        <w:t>60</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_Toc11571 </w:instrText>
      </w:r>
      <w:r>
        <w:rPr>
          <w:rFonts w:ascii="宋体" w:hAnsi="宋体"/>
          <w:bCs/>
          <w:kern w:val="32"/>
        </w:rPr>
        <w:fldChar w:fldCharType="separate"/>
      </w:r>
      <w:r>
        <w:rPr>
          <w:rFonts w:hint="eastAsia"/>
        </w:rPr>
        <w:t xml:space="preserve">第四节  </w:t>
      </w:r>
      <w:r>
        <w:rPr>
          <w:rFonts w:hint="eastAsia"/>
          <w:lang w:eastAsia="zh-CN"/>
        </w:rPr>
        <w:t>主体</w:t>
      </w:r>
      <w:r>
        <w:rPr>
          <w:rFonts w:hint="eastAsia"/>
        </w:rPr>
        <w:t>结构</w:t>
      </w:r>
      <w:r>
        <w:rPr>
          <w:rFonts w:hint="eastAsia"/>
          <w:lang w:eastAsia="zh-CN"/>
        </w:rPr>
        <w:t>工程施工</w:t>
      </w:r>
      <w:r>
        <w:rPr>
          <w:rFonts w:hint="eastAsia"/>
        </w:rPr>
        <w:t>方案</w:t>
      </w:r>
      <w:r>
        <w:tab/>
      </w:r>
      <w:r>
        <w:fldChar w:fldCharType="begin"/>
      </w:r>
      <w:r>
        <w:instrText xml:space="preserve"> PAGEREF _Toc11571 \h </w:instrText>
      </w:r>
      <w:r>
        <w:fldChar w:fldCharType="separate"/>
      </w:r>
      <w:r>
        <w:t>67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_Toc26409 </w:instrText>
      </w:r>
      <w:r>
        <w:rPr>
          <w:rFonts w:ascii="宋体" w:hAnsi="宋体"/>
          <w:bCs/>
          <w:kern w:val="32"/>
        </w:rPr>
        <w:fldChar w:fldCharType="separate"/>
      </w:r>
      <w:r>
        <w:rPr>
          <w:rFonts w:hint="eastAsia"/>
          <w:lang w:eastAsia="zh-CN"/>
        </w:rPr>
        <w:t>第五节</w:t>
      </w:r>
      <w:r>
        <w:rPr>
          <w:rFonts w:hint="eastAsia"/>
          <w:lang w:val="en-US" w:eastAsia="zh-CN"/>
        </w:rPr>
        <w:t xml:space="preserve">  屋面工程施工方案</w:t>
      </w:r>
      <w:r>
        <w:tab/>
      </w:r>
      <w:r>
        <w:fldChar w:fldCharType="begin"/>
      </w:r>
      <w:r>
        <w:instrText xml:space="preserve"> PAGEREF _Toc26409 \h </w:instrText>
      </w:r>
      <w:r>
        <w:fldChar w:fldCharType="separate"/>
      </w:r>
      <w:r>
        <w:t>109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_Toc19493 </w:instrText>
      </w:r>
      <w:r>
        <w:rPr>
          <w:rFonts w:ascii="宋体" w:hAnsi="宋体"/>
          <w:bCs/>
          <w:kern w:val="32"/>
        </w:rPr>
        <w:fldChar w:fldCharType="separate"/>
      </w:r>
      <w:r>
        <w:rPr>
          <w:rFonts w:hint="eastAsia"/>
        </w:rPr>
        <w:t>第</w:t>
      </w:r>
      <w:r>
        <w:rPr>
          <w:rFonts w:hint="eastAsia"/>
          <w:lang w:eastAsia="zh-CN"/>
        </w:rPr>
        <w:t>六</w:t>
      </w:r>
      <w:r>
        <w:rPr>
          <w:rFonts w:hint="eastAsia"/>
        </w:rPr>
        <w:t>节  脚手架施工方案</w:t>
      </w:r>
      <w:r>
        <w:tab/>
      </w:r>
      <w:r>
        <w:fldChar w:fldCharType="begin"/>
      </w:r>
      <w:r>
        <w:instrText xml:space="preserve"> PAGEREF _Toc19493 \h </w:instrText>
      </w:r>
      <w:r>
        <w:fldChar w:fldCharType="separate"/>
      </w:r>
      <w:r>
        <w:t>112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_Toc4941 </w:instrText>
      </w:r>
      <w:r>
        <w:rPr>
          <w:rFonts w:ascii="宋体" w:hAnsi="宋体"/>
          <w:bCs/>
          <w:kern w:val="32"/>
        </w:rPr>
        <w:fldChar w:fldCharType="separate"/>
      </w:r>
      <w:r>
        <w:rPr>
          <w:rFonts w:hint="eastAsia"/>
          <w:lang w:eastAsia="zh-CN"/>
        </w:rPr>
        <w:t>第七节</w:t>
      </w:r>
      <w:r>
        <w:rPr>
          <w:rFonts w:hint="eastAsia"/>
          <w:lang w:val="en-US" w:eastAsia="zh-CN"/>
        </w:rPr>
        <w:t xml:space="preserve">  </w:t>
      </w:r>
      <w:r>
        <w:rPr>
          <w:rFonts w:hint="eastAsia"/>
        </w:rPr>
        <w:t>防水施工方案</w:t>
      </w:r>
      <w:r>
        <w:tab/>
      </w:r>
      <w:r>
        <w:fldChar w:fldCharType="begin"/>
      </w:r>
      <w:r>
        <w:instrText xml:space="preserve"> PAGEREF _Toc4941 \h </w:instrText>
      </w:r>
      <w:r>
        <w:fldChar w:fldCharType="separate"/>
      </w:r>
      <w:r>
        <w:t>118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_Toc3952 </w:instrText>
      </w:r>
      <w:r>
        <w:rPr>
          <w:rFonts w:ascii="宋体" w:hAnsi="宋体"/>
          <w:bCs/>
          <w:kern w:val="32"/>
        </w:rPr>
        <w:fldChar w:fldCharType="separate"/>
      </w:r>
      <w:r>
        <w:rPr>
          <w:rFonts w:hint="eastAsia"/>
        </w:rPr>
        <w:t>第</w:t>
      </w:r>
      <w:r>
        <w:rPr>
          <w:rFonts w:hint="eastAsia"/>
          <w:lang w:eastAsia="zh-CN"/>
        </w:rPr>
        <w:t>八</w:t>
      </w:r>
      <w:r>
        <w:rPr>
          <w:rFonts w:hint="eastAsia"/>
        </w:rPr>
        <w:t>节  幕墙工程施工方案</w:t>
      </w:r>
      <w:r>
        <w:tab/>
      </w:r>
      <w:r>
        <w:fldChar w:fldCharType="begin"/>
      </w:r>
      <w:r>
        <w:instrText xml:space="preserve"> PAGEREF _Toc3952 \h </w:instrText>
      </w:r>
      <w:r>
        <w:fldChar w:fldCharType="separate"/>
      </w:r>
      <w:r>
        <w:t>128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_Toc19046 </w:instrText>
      </w:r>
      <w:r>
        <w:rPr>
          <w:rFonts w:ascii="宋体" w:hAnsi="宋体"/>
          <w:bCs/>
          <w:kern w:val="32"/>
        </w:rPr>
        <w:fldChar w:fldCharType="separate"/>
      </w:r>
      <w:r>
        <w:rPr>
          <w:rFonts w:hint="eastAsia"/>
        </w:rPr>
        <w:t>第</w:t>
      </w:r>
      <w:r>
        <w:rPr>
          <w:rFonts w:hint="eastAsia"/>
          <w:lang w:eastAsia="zh-CN"/>
        </w:rPr>
        <w:t>九</w:t>
      </w:r>
      <w:r>
        <w:rPr>
          <w:rFonts w:hint="eastAsia"/>
        </w:rPr>
        <w:t xml:space="preserve">节  </w:t>
      </w:r>
      <w:r>
        <w:rPr>
          <w:rFonts w:hint="eastAsia"/>
          <w:lang w:eastAsia="zh-CN"/>
        </w:rPr>
        <w:t>装饰装修</w:t>
      </w:r>
      <w:r>
        <w:rPr>
          <w:rFonts w:hint="eastAsia"/>
        </w:rPr>
        <w:t>施工方案</w:t>
      </w:r>
      <w:r>
        <w:tab/>
      </w:r>
      <w:r>
        <w:fldChar w:fldCharType="begin"/>
      </w:r>
      <w:r>
        <w:instrText xml:space="preserve"> PAGEREF _Toc19046 \h </w:instrText>
      </w:r>
      <w:r>
        <w:fldChar w:fldCharType="separate"/>
      </w:r>
      <w:r>
        <w:t>138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_Toc24281 </w:instrText>
      </w:r>
      <w:r>
        <w:rPr>
          <w:rFonts w:ascii="宋体" w:hAnsi="宋体"/>
          <w:bCs/>
          <w:kern w:val="32"/>
        </w:rPr>
        <w:fldChar w:fldCharType="separate"/>
      </w:r>
      <w:r>
        <w:rPr>
          <w:rFonts w:hint="eastAsia"/>
        </w:rPr>
        <w:t>第</w:t>
      </w:r>
      <w:r>
        <w:rPr>
          <w:rFonts w:hint="eastAsia"/>
          <w:lang w:eastAsia="zh-CN"/>
        </w:rPr>
        <w:t>十</w:t>
      </w:r>
      <w:r>
        <w:rPr>
          <w:rFonts w:hint="eastAsia"/>
        </w:rPr>
        <w:t>节  门窗工程安装施工方案</w:t>
      </w:r>
      <w:r>
        <w:tab/>
      </w:r>
      <w:r>
        <w:fldChar w:fldCharType="begin"/>
      </w:r>
      <w:r>
        <w:instrText xml:space="preserve"> PAGEREF _Toc24281 \h </w:instrText>
      </w:r>
      <w:r>
        <w:fldChar w:fldCharType="separate"/>
      </w:r>
      <w:r>
        <w:t>153</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_Toc5934 </w:instrText>
      </w:r>
      <w:r>
        <w:rPr>
          <w:rFonts w:ascii="宋体" w:hAnsi="宋体"/>
          <w:bCs/>
          <w:kern w:val="32"/>
        </w:rPr>
        <w:fldChar w:fldCharType="separate"/>
      </w:r>
      <w:r>
        <w:rPr>
          <w:rFonts w:hint="eastAsia"/>
        </w:rPr>
        <w:t>第十</w:t>
      </w:r>
      <w:r>
        <w:rPr>
          <w:rFonts w:hint="eastAsia"/>
          <w:lang w:eastAsia="zh-CN"/>
        </w:rPr>
        <w:t>一</w:t>
      </w:r>
      <w:r>
        <w:rPr>
          <w:rFonts w:hint="eastAsia"/>
        </w:rPr>
        <w:t>节</w:t>
      </w:r>
      <w:r>
        <w:rPr>
          <w:rFonts w:hint="eastAsia"/>
          <w:lang w:val="en-US" w:eastAsia="zh-CN"/>
        </w:rPr>
        <w:t xml:space="preserve">  </w:t>
      </w:r>
      <w:r>
        <w:rPr>
          <w:rFonts w:hint="eastAsia"/>
        </w:rPr>
        <w:t>给排水工程施工方案</w:t>
      </w:r>
      <w:r>
        <w:tab/>
      </w:r>
      <w:r>
        <w:fldChar w:fldCharType="begin"/>
      </w:r>
      <w:r>
        <w:instrText xml:space="preserve"> PAGEREF _Toc5934 \h </w:instrText>
      </w:r>
      <w:r>
        <w:fldChar w:fldCharType="separate"/>
      </w:r>
      <w:r>
        <w:t>158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_Toc31762 </w:instrText>
      </w:r>
      <w:r>
        <w:rPr>
          <w:rFonts w:ascii="宋体" w:hAnsi="宋体"/>
          <w:bCs/>
          <w:kern w:val="32"/>
        </w:rPr>
        <w:fldChar w:fldCharType="separate"/>
      </w:r>
      <w:r>
        <w:rPr>
          <w:rFonts w:hint="eastAsia"/>
        </w:rPr>
        <w:t>第十</w:t>
      </w:r>
      <w:r>
        <w:rPr>
          <w:rFonts w:hint="eastAsia"/>
          <w:lang w:eastAsia="zh-CN"/>
        </w:rPr>
        <w:t>二</w:t>
      </w:r>
      <w:r>
        <w:rPr>
          <w:rFonts w:hint="eastAsia"/>
        </w:rPr>
        <w:t>节  电气</w:t>
      </w:r>
      <w:r>
        <w:t>工程施工方案</w:t>
      </w:r>
      <w:r>
        <w:tab/>
      </w:r>
      <w:r>
        <w:fldChar w:fldCharType="begin"/>
      </w:r>
      <w:r>
        <w:instrText xml:space="preserve"> PAGEREF _Toc31762 \h </w:instrText>
      </w:r>
      <w:r>
        <w:fldChar w:fldCharType="separate"/>
      </w:r>
      <w:r>
        <w:t>164</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_Toc5870 </w:instrText>
      </w:r>
      <w:r>
        <w:rPr>
          <w:rFonts w:ascii="宋体" w:hAnsi="宋体"/>
          <w:bCs/>
          <w:kern w:val="32"/>
        </w:rPr>
        <w:fldChar w:fldCharType="separate"/>
      </w:r>
      <w:r>
        <w:rPr>
          <w:rFonts w:hint="eastAsia"/>
          <w:lang w:eastAsia="zh-CN"/>
        </w:rPr>
        <w:t>第十</w:t>
      </w:r>
      <w:r>
        <w:rPr>
          <w:rFonts w:hint="eastAsia"/>
          <w:lang w:val="en-US" w:eastAsia="zh-CN"/>
        </w:rPr>
        <w:t>三</w:t>
      </w:r>
      <w:r>
        <w:rPr>
          <w:rFonts w:hint="eastAsia"/>
          <w:lang w:eastAsia="zh-CN"/>
        </w:rPr>
        <w:t>节</w:t>
      </w:r>
      <w:r>
        <w:rPr>
          <w:rFonts w:hint="eastAsia"/>
          <w:lang w:val="en-US" w:eastAsia="zh-CN"/>
        </w:rPr>
        <w:t xml:space="preserve"> 人防</w:t>
      </w:r>
      <w:r>
        <w:rPr>
          <w:rFonts w:hint="eastAsia"/>
        </w:rPr>
        <w:t>工程施工方案</w:t>
      </w:r>
      <w:r>
        <w:tab/>
      </w:r>
      <w:r>
        <w:fldChar w:fldCharType="begin"/>
      </w:r>
      <w:r>
        <w:instrText xml:space="preserve"> PAGEREF _Toc5870 \h </w:instrText>
      </w:r>
      <w:r>
        <w:fldChar w:fldCharType="separate"/>
      </w:r>
      <w:r>
        <w:t>172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_Toc20533 </w:instrText>
      </w:r>
      <w:r>
        <w:rPr>
          <w:rFonts w:ascii="宋体" w:hAnsi="宋体"/>
          <w:bCs/>
          <w:kern w:val="32"/>
        </w:rPr>
        <w:fldChar w:fldCharType="separate"/>
      </w:r>
      <w:r>
        <w:rPr>
          <w:rFonts w:hint="eastAsia"/>
        </w:rPr>
        <w:t>第十</w:t>
      </w:r>
      <w:r>
        <w:rPr>
          <w:rFonts w:hint="eastAsia"/>
          <w:lang w:val="en-US" w:eastAsia="zh-CN"/>
        </w:rPr>
        <w:t>四</w:t>
      </w:r>
      <w:r>
        <w:rPr>
          <w:rFonts w:hint="eastAsia"/>
        </w:rPr>
        <w:t>节</w:t>
      </w:r>
      <w:r>
        <w:rPr>
          <w:rFonts w:hint="eastAsia"/>
          <w:lang w:val="en-US"/>
        </w:rPr>
        <w:t xml:space="preserve">  装配式工程施工方案</w:t>
      </w:r>
      <w:r>
        <w:tab/>
      </w:r>
      <w:r>
        <w:fldChar w:fldCharType="begin"/>
      </w:r>
      <w:r>
        <w:instrText xml:space="preserve"> PAGEREF _Toc20533 \h </w:instrText>
      </w:r>
      <w:r>
        <w:fldChar w:fldCharType="separate"/>
      </w:r>
      <w:r>
        <w:t>175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_Toc4989 </w:instrText>
      </w:r>
      <w:r>
        <w:rPr>
          <w:rFonts w:ascii="宋体" w:hAnsi="宋体"/>
          <w:bCs/>
          <w:kern w:val="32"/>
        </w:rPr>
        <w:fldChar w:fldCharType="separate"/>
      </w:r>
      <w:r>
        <w:rPr>
          <w:rFonts w:hint="eastAsia"/>
          <w:lang w:eastAsia="zh-CN"/>
        </w:rPr>
        <w:t>第十</w:t>
      </w:r>
      <w:r>
        <w:rPr>
          <w:rFonts w:hint="eastAsia"/>
          <w:lang w:val="en-US" w:eastAsia="zh-CN"/>
        </w:rPr>
        <w:t>五</w:t>
      </w:r>
      <w:r>
        <w:rPr>
          <w:rFonts w:hint="eastAsia"/>
          <w:lang w:eastAsia="zh-CN"/>
        </w:rPr>
        <w:t>节</w:t>
      </w:r>
      <w:r>
        <w:rPr>
          <w:rFonts w:hint="eastAsia"/>
          <w:lang w:val="en-US" w:eastAsia="zh-CN"/>
        </w:rPr>
        <w:t xml:space="preserve">  </w:t>
      </w:r>
      <w:r>
        <w:rPr>
          <w:rFonts w:hint="eastAsia"/>
        </w:rPr>
        <w:t>市政</w:t>
      </w:r>
      <w:r>
        <w:rPr>
          <w:rFonts w:hint="eastAsia"/>
          <w:lang w:val="en-US" w:eastAsia="zh-CN"/>
        </w:rPr>
        <w:t>附属</w:t>
      </w:r>
      <w:r>
        <w:rPr>
          <w:rFonts w:hint="eastAsia"/>
        </w:rPr>
        <w:t>工程施工方案</w:t>
      </w:r>
      <w:r>
        <w:tab/>
      </w:r>
      <w:r>
        <w:fldChar w:fldCharType="begin"/>
      </w:r>
      <w:r>
        <w:instrText xml:space="preserve"> PAGEREF _Toc4989 \h </w:instrText>
      </w:r>
      <w:r>
        <w:fldChar w:fldCharType="separate"/>
      </w:r>
      <w:r>
        <w:t>180</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_Toc5692 </w:instrText>
      </w:r>
      <w:r>
        <w:rPr>
          <w:rFonts w:ascii="宋体" w:hAnsi="宋体"/>
          <w:bCs/>
          <w:kern w:val="32"/>
        </w:rPr>
        <w:fldChar w:fldCharType="separate"/>
      </w:r>
      <w:r>
        <w:rPr>
          <w:rFonts w:hint="eastAsia"/>
        </w:rPr>
        <w:t>第</w:t>
      </w:r>
      <w:r>
        <w:rPr>
          <w:rFonts w:hint="eastAsia"/>
          <w:lang w:val="en-US" w:eastAsia="zh-CN"/>
        </w:rPr>
        <w:t>六</w:t>
      </w:r>
      <w:r>
        <w:rPr>
          <w:rFonts w:hint="eastAsia"/>
        </w:rPr>
        <w:t>章  施工进度计划及工期保障措施</w:t>
      </w:r>
      <w:r>
        <w:tab/>
      </w:r>
      <w:r>
        <w:fldChar w:fldCharType="begin"/>
      </w:r>
      <w:r>
        <w:instrText xml:space="preserve"> PAGEREF _Toc5692 \h </w:instrText>
      </w:r>
      <w:r>
        <w:fldChar w:fldCharType="separate"/>
      </w:r>
      <w:r>
        <w:t>198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_Toc6761 </w:instrText>
      </w:r>
      <w:r>
        <w:rPr>
          <w:rFonts w:ascii="宋体" w:hAnsi="宋体"/>
          <w:bCs/>
          <w:kern w:val="32"/>
        </w:rPr>
        <w:fldChar w:fldCharType="separate"/>
      </w:r>
      <w:r>
        <w:rPr>
          <w:rFonts w:hint="eastAsia"/>
        </w:rPr>
        <w:t>第一节  工程总体进度计划</w:t>
      </w:r>
      <w:r>
        <w:tab/>
      </w:r>
      <w:r>
        <w:fldChar w:fldCharType="begin"/>
      </w:r>
      <w:r>
        <w:instrText xml:space="preserve"> PAGEREF _Toc6761 \h </w:instrText>
      </w:r>
      <w:r>
        <w:fldChar w:fldCharType="separate"/>
      </w:r>
      <w:r>
        <w:t>198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_Toc21008 </w:instrText>
      </w:r>
      <w:r>
        <w:rPr>
          <w:rFonts w:ascii="宋体" w:hAnsi="宋体"/>
          <w:bCs/>
          <w:kern w:val="32"/>
        </w:rPr>
        <w:fldChar w:fldCharType="separate"/>
      </w:r>
      <w:r>
        <w:rPr>
          <w:rFonts w:hint="eastAsia"/>
        </w:rPr>
        <w:t>第二节  工</w:t>
      </w:r>
      <w:r>
        <w:rPr>
          <w:rFonts w:hint="eastAsia"/>
          <w:lang w:eastAsia="zh-CN"/>
        </w:rPr>
        <w:t>期</w:t>
      </w:r>
      <w:r>
        <w:rPr>
          <w:rFonts w:hint="eastAsia"/>
        </w:rPr>
        <w:t>保障措施</w:t>
      </w:r>
      <w:r>
        <w:tab/>
      </w:r>
      <w:r>
        <w:fldChar w:fldCharType="begin"/>
      </w:r>
      <w:r>
        <w:instrText xml:space="preserve"> PAGEREF _Toc21008 \h </w:instrText>
      </w:r>
      <w:r>
        <w:fldChar w:fldCharType="separate"/>
      </w:r>
      <w:r>
        <w:t>198</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_Toc25157 </w:instrText>
      </w:r>
      <w:r>
        <w:rPr>
          <w:rFonts w:ascii="宋体" w:hAnsi="宋体"/>
          <w:bCs/>
          <w:kern w:val="32"/>
        </w:rPr>
        <w:fldChar w:fldCharType="separate"/>
      </w:r>
      <w:r>
        <w:rPr>
          <w:rFonts w:hint="eastAsia"/>
        </w:rPr>
        <w:t>第</w:t>
      </w:r>
      <w:r>
        <w:rPr>
          <w:rFonts w:hint="eastAsia"/>
          <w:lang w:val="en-US" w:eastAsia="zh-CN"/>
        </w:rPr>
        <w:t>七</w:t>
      </w:r>
      <w:r>
        <w:rPr>
          <w:rFonts w:hint="eastAsia"/>
        </w:rPr>
        <w:t xml:space="preserve">章  </w:t>
      </w:r>
      <w:r>
        <w:rPr>
          <w:rFonts w:hint="eastAsia"/>
          <w:lang w:val="en-US" w:eastAsia="zh-CN"/>
        </w:rPr>
        <w:t>施工材料及机械配置计划</w:t>
      </w:r>
      <w:r>
        <w:tab/>
      </w:r>
      <w:r>
        <w:fldChar w:fldCharType="begin"/>
      </w:r>
      <w:r>
        <w:instrText xml:space="preserve"> PAGEREF _Toc25157 \h </w:instrText>
      </w:r>
      <w:r>
        <w:fldChar w:fldCharType="separate"/>
      </w:r>
      <w:r>
        <w:t>206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_Toc16667 </w:instrText>
      </w:r>
      <w:r>
        <w:rPr>
          <w:rFonts w:ascii="宋体" w:hAnsi="宋体"/>
          <w:bCs/>
          <w:kern w:val="32"/>
        </w:rPr>
        <w:fldChar w:fldCharType="separate"/>
      </w:r>
      <w:r>
        <w:rPr>
          <w:rFonts w:hint="eastAsia"/>
          <w:bCs/>
        </w:rPr>
        <w:t xml:space="preserve">第一节  </w:t>
      </w:r>
      <w:r>
        <w:rPr>
          <w:rFonts w:hint="eastAsia"/>
          <w:bCs/>
          <w:lang w:val="en-US" w:eastAsia="zh-CN"/>
        </w:rPr>
        <w:t>主要周转材料供应计划</w:t>
      </w:r>
      <w:r>
        <w:tab/>
      </w:r>
      <w:r>
        <w:fldChar w:fldCharType="begin"/>
      </w:r>
      <w:r>
        <w:instrText xml:space="preserve"> PAGEREF _Toc16667 \h </w:instrText>
      </w:r>
      <w:r>
        <w:fldChar w:fldCharType="separate"/>
      </w:r>
      <w:r>
        <w:t>206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_Toc5989 </w:instrText>
      </w:r>
      <w:r>
        <w:rPr>
          <w:rFonts w:ascii="宋体" w:hAnsi="宋体"/>
          <w:bCs/>
          <w:kern w:val="32"/>
        </w:rPr>
        <w:fldChar w:fldCharType="separate"/>
      </w:r>
      <w:r>
        <w:rPr>
          <w:rFonts w:hint="eastAsia"/>
        </w:rPr>
        <w:t>第</w:t>
      </w:r>
      <w:r>
        <w:rPr>
          <w:rFonts w:hint="eastAsia"/>
          <w:lang w:val="en-US" w:eastAsia="zh-CN"/>
        </w:rPr>
        <w:t>二</w:t>
      </w:r>
      <w:r>
        <w:rPr>
          <w:rFonts w:hint="eastAsia"/>
        </w:rPr>
        <w:t>节  主要施工机械设备配备</w:t>
      </w:r>
      <w:r>
        <w:tab/>
      </w:r>
      <w:r>
        <w:fldChar w:fldCharType="begin"/>
      </w:r>
      <w:r>
        <w:instrText xml:space="preserve"> PAGEREF _Toc5989 \h </w:instrText>
      </w:r>
      <w:r>
        <w:fldChar w:fldCharType="separate"/>
      </w:r>
      <w:r>
        <w:t>206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_Toc6291 </w:instrText>
      </w:r>
      <w:r>
        <w:rPr>
          <w:rFonts w:ascii="宋体" w:hAnsi="宋体"/>
          <w:bCs/>
          <w:kern w:val="32"/>
        </w:rPr>
        <w:fldChar w:fldCharType="separate"/>
      </w:r>
      <w:r>
        <w:rPr>
          <w:rFonts w:hint="eastAsia"/>
        </w:rPr>
        <w:t>第</w:t>
      </w:r>
      <w:r>
        <w:rPr>
          <w:rFonts w:hint="eastAsia"/>
          <w:lang w:val="en-US" w:eastAsia="zh-CN"/>
        </w:rPr>
        <w:t>三</w:t>
      </w:r>
      <w:r>
        <w:rPr>
          <w:rFonts w:hint="eastAsia"/>
        </w:rPr>
        <w:t>节  主要检测仪器与计量器具配备</w:t>
      </w:r>
      <w:r>
        <w:tab/>
      </w:r>
      <w:r>
        <w:fldChar w:fldCharType="begin"/>
      </w:r>
      <w:r>
        <w:instrText xml:space="preserve"> PAGEREF _Toc6291 \h </w:instrText>
      </w:r>
      <w:r>
        <w:fldChar w:fldCharType="separate"/>
      </w:r>
      <w:r>
        <w:t>207</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_Toc13209 </w:instrText>
      </w:r>
      <w:r>
        <w:rPr>
          <w:rFonts w:ascii="宋体" w:hAnsi="宋体"/>
          <w:bCs/>
          <w:kern w:val="32"/>
        </w:rPr>
        <w:fldChar w:fldCharType="separate"/>
      </w:r>
      <w:r>
        <w:rPr>
          <w:rFonts w:hint="eastAsia"/>
          <w:lang w:val="en-US" w:eastAsia="zh-CN"/>
        </w:rPr>
        <w:t>第四节  材料及机械保障措施</w:t>
      </w:r>
      <w:r>
        <w:tab/>
      </w:r>
      <w:r>
        <w:fldChar w:fldCharType="begin"/>
      </w:r>
      <w:r>
        <w:instrText xml:space="preserve"> PAGEREF _Toc13209 \h </w:instrText>
      </w:r>
      <w:r>
        <w:fldChar w:fldCharType="separate"/>
      </w:r>
      <w:r>
        <w:t>208</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_Toc18120 </w:instrText>
      </w:r>
      <w:r>
        <w:rPr>
          <w:rFonts w:ascii="宋体" w:hAnsi="宋体"/>
          <w:bCs/>
          <w:kern w:val="32"/>
        </w:rPr>
        <w:fldChar w:fldCharType="separate"/>
      </w:r>
      <w:r>
        <w:rPr>
          <w:rFonts w:hint="eastAsia"/>
        </w:rPr>
        <w:t>第</w:t>
      </w:r>
      <w:r>
        <w:rPr>
          <w:rFonts w:hint="eastAsia"/>
          <w:lang w:val="en-US" w:eastAsia="zh-CN"/>
        </w:rPr>
        <w:t>八</w:t>
      </w:r>
      <w:r>
        <w:rPr>
          <w:rFonts w:hint="eastAsia"/>
        </w:rPr>
        <w:t xml:space="preserve">章  </w:t>
      </w:r>
      <w:r>
        <w:rPr>
          <w:rFonts w:hint="eastAsia"/>
          <w:lang w:val="en-US" w:eastAsia="zh-CN"/>
        </w:rPr>
        <w:t>劳动力计划</w:t>
      </w:r>
      <w:r>
        <w:tab/>
      </w:r>
      <w:r>
        <w:fldChar w:fldCharType="begin"/>
      </w:r>
      <w:r>
        <w:instrText xml:space="preserve"> PAGEREF _Toc18120 \h </w:instrText>
      </w:r>
      <w:r>
        <w:fldChar w:fldCharType="separate"/>
      </w:r>
      <w:r>
        <w:t>210</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_Toc24742 </w:instrText>
      </w:r>
      <w:r>
        <w:rPr>
          <w:rFonts w:ascii="宋体" w:hAnsi="宋体"/>
          <w:bCs/>
          <w:kern w:val="32"/>
        </w:rPr>
        <w:fldChar w:fldCharType="separate"/>
      </w:r>
      <w:r>
        <w:rPr>
          <w:rFonts w:hint="eastAsia"/>
        </w:rPr>
        <w:t xml:space="preserve">第一节  </w:t>
      </w:r>
      <w:r>
        <w:rPr>
          <w:rFonts w:hint="eastAsia"/>
          <w:lang w:val="en-US" w:eastAsia="zh-CN"/>
        </w:rPr>
        <w:t>劳动力计划</w:t>
      </w:r>
      <w:r>
        <w:tab/>
      </w:r>
      <w:r>
        <w:fldChar w:fldCharType="begin"/>
      </w:r>
      <w:r>
        <w:instrText xml:space="preserve"> PAGEREF _Toc24742 \h </w:instrText>
      </w:r>
      <w:r>
        <w:fldChar w:fldCharType="separate"/>
      </w:r>
      <w:r>
        <w:t>210</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_Toc22591 </w:instrText>
      </w:r>
      <w:r>
        <w:rPr>
          <w:rFonts w:ascii="宋体" w:hAnsi="宋体"/>
          <w:bCs/>
          <w:kern w:val="32"/>
        </w:rPr>
        <w:fldChar w:fldCharType="separate"/>
      </w:r>
      <w:r>
        <w:rPr>
          <w:rFonts w:hint="eastAsia"/>
        </w:rPr>
        <w:t>第</w:t>
      </w:r>
      <w:r>
        <w:rPr>
          <w:rFonts w:hint="eastAsia"/>
          <w:lang w:val="en-US" w:eastAsia="zh-CN"/>
        </w:rPr>
        <w:t>二</w:t>
      </w:r>
      <w:r>
        <w:rPr>
          <w:rFonts w:hint="eastAsia"/>
        </w:rPr>
        <w:t xml:space="preserve">节  </w:t>
      </w:r>
      <w:r>
        <w:rPr>
          <w:rFonts w:hint="eastAsia"/>
          <w:lang w:val="en-US" w:eastAsia="zh-CN"/>
        </w:rPr>
        <w:t>劳动力保障措施</w:t>
      </w:r>
      <w:r>
        <w:tab/>
      </w:r>
      <w:r>
        <w:fldChar w:fldCharType="begin"/>
      </w:r>
      <w:r>
        <w:instrText xml:space="preserve"> PAGEREF _Toc22591 \h </w:instrText>
      </w:r>
      <w:r>
        <w:fldChar w:fldCharType="separate"/>
      </w:r>
      <w:r>
        <w:t>211</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_Toc9094 </w:instrText>
      </w:r>
      <w:r>
        <w:rPr>
          <w:rFonts w:ascii="宋体" w:hAnsi="宋体"/>
          <w:bCs/>
          <w:kern w:val="32"/>
        </w:rPr>
        <w:fldChar w:fldCharType="separate"/>
      </w:r>
      <w:r>
        <w:rPr>
          <w:rFonts w:hint="eastAsia"/>
          <w:lang w:eastAsia="zh-CN"/>
        </w:rPr>
        <w:t>第三节</w:t>
      </w:r>
      <w:r>
        <w:rPr>
          <w:rFonts w:hint="eastAsia"/>
          <w:lang w:val="en-US" w:eastAsia="zh-CN"/>
        </w:rPr>
        <w:t xml:space="preserve">  </w:t>
      </w:r>
      <w:r>
        <w:t>劳动力现场管理</w:t>
      </w:r>
      <w:r>
        <w:tab/>
      </w:r>
      <w:r>
        <w:fldChar w:fldCharType="begin"/>
      </w:r>
      <w:r>
        <w:instrText xml:space="preserve"> PAGEREF _Toc9094 \h </w:instrText>
      </w:r>
      <w:r>
        <w:fldChar w:fldCharType="separate"/>
      </w:r>
      <w:r>
        <w:t>212</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_Toc26219 </w:instrText>
      </w:r>
      <w:r>
        <w:rPr>
          <w:rFonts w:ascii="宋体" w:hAnsi="宋体"/>
          <w:bCs/>
          <w:kern w:val="32"/>
        </w:rPr>
        <w:fldChar w:fldCharType="separate"/>
      </w:r>
      <w:r>
        <w:rPr>
          <w:rFonts w:hint="eastAsia"/>
        </w:rPr>
        <w:t>第</w:t>
      </w:r>
      <w:r>
        <w:rPr>
          <w:rFonts w:hint="eastAsia"/>
          <w:lang w:val="en-US" w:eastAsia="zh-CN"/>
        </w:rPr>
        <w:t>九</w:t>
      </w:r>
      <w:r>
        <w:rPr>
          <w:rFonts w:hint="eastAsia"/>
        </w:rPr>
        <w:t>章  现场平面布置及管理</w:t>
      </w:r>
      <w:r>
        <w:tab/>
      </w:r>
      <w:r>
        <w:fldChar w:fldCharType="begin"/>
      </w:r>
      <w:r>
        <w:instrText xml:space="preserve"> PAGEREF _Toc26219 \h </w:instrText>
      </w:r>
      <w:r>
        <w:fldChar w:fldCharType="separate"/>
      </w:r>
      <w:r>
        <w:t>215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_Toc16061 </w:instrText>
      </w:r>
      <w:r>
        <w:rPr>
          <w:rFonts w:ascii="宋体" w:hAnsi="宋体"/>
          <w:bCs/>
          <w:kern w:val="32"/>
        </w:rPr>
        <w:fldChar w:fldCharType="separate"/>
      </w:r>
      <w:r>
        <w:rPr>
          <w:rFonts w:hint="eastAsia"/>
        </w:rPr>
        <w:t>第一节  平面布置原则</w:t>
      </w:r>
      <w:r>
        <w:tab/>
      </w:r>
      <w:r>
        <w:fldChar w:fldCharType="begin"/>
      </w:r>
      <w:r>
        <w:instrText xml:space="preserve"> PAGEREF _Toc16061 \h </w:instrText>
      </w:r>
      <w:r>
        <w:fldChar w:fldCharType="separate"/>
      </w:r>
      <w:r>
        <w:t>215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_Toc25905 </w:instrText>
      </w:r>
      <w:r>
        <w:rPr>
          <w:rFonts w:ascii="宋体" w:hAnsi="宋体"/>
          <w:bCs/>
          <w:kern w:val="32"/>
        </w:rPr>
        <w:fldChar w:fldCharType="separate"/>
      </w:r>
      <w:r>
        <w:rPr>
          <w:rFonts w:hint="eastAsia"/>
        </w:rPr>
        <w:t>第二节  施工现场总平面布置</w:t>
      </w:r>
      <w:r>
        <w:tab/>
      </w:r>
      <w:r>
        <w:fldChar w:fldCharType="begin"/>
      </w:r>
      <w:r>
        <w:instrText xml:space="preserve"> PAGEREF _Toc25905 \h </w:instrText>
      </w:r>
      <w:r>
        <w:fldChar w:fldCharType="separate"/>
      </w:r>
      <w:r>
        <w:t>216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_Toc27718 </w:instrText>
      </w:r>
      <w:r>
        <w:rPr>
          <w:rFonts w:ascii="宋体" w:hAnsi="宋体"/>
          <w:bCs/>
          <w:kern w:val="32"/>
        </w:rPr>
        <w:fldChar w:fldCharType="separate"/>
      </w:r>
      <w:r>
        <w:rPr>
          <w:rFonts w:hint="eastAsia"/>
        </w:rPr>
        <w:t>第</w:t>
      </w:r>
      <w:r>
        <w:rPr>
          <w:rFonts w:hint="eastAsia"/>
          <w:lang w:val="en-US" w:eastAsia="zh-CN"/>
        </w:rPr>
        <w:t>三</w:t>
      </w:r>
      <w:r>
        <w:rPr>
          <w:rFonts w:hint="eastAsia"/>
        </w:rPr>
        <w:t xml:space="preserve">节 </w:t>
      </w:r>
      <w:r>
        <w:rPr>
          <w:rFonts w:hint="eastAsia"/>
          <w:lang w:val="en-US" w:eastAsia="zh-CN"/>
        </w:rPr>
        <w:t xml:space="preserve"> 办公、</w:t>
      </w:r>
      <w:r>
        <w:rPr>
          <w:rFonts w:hint="eastAsia"/>
        </w:rPr>
        <w:t>生活区布置</w:t>
      </w:r>
      <w:r>
        <w:tab/>
      </w:r>
      <w:r>
        <w:fldChar w:fldCharType="begin"/>
      </w:r>
      <w:r>
        <w:instrText xml:space="preserve"> PAGEREF _Toc27718 \h </w:instrText>
      </w:r>
      <w:r>
        <w:fldChar w:fldCharType="separate"/>
      </w:r>
      <w:r>
        <w:t>219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_Toc3494 </w:instrText>
      </w:r>
      <w:r>
        <w:rPr>
          <w:rFonts w:ascii="宋体" w:hAnsi="宋体"/>
          <w:bCs/>
          <w:kern w:val="32"/>
        </w:rPr>
        <w:fldChar w:fldCharType="separate"/>
      </w:r>
      <w:r>
        <w:rPr>
          <w:rFonts w:hint="eastAsia"/>
        </w:rPr>
        <w:t>第</w:t>
      </w:r>
      <w:r>
        <w:rPr>
          <w:rFonts w:hint="eastAsia"/>
          <w:lang w:val="en-US" w:eastAsia="zh-CN"/>
        </w:rPr>
        <w:t>四</w:t>
      </w:r>
      <w:r>
        <w:rPr>
          <w:rFonts w:hint="eastAsia"/>
        </w:rPr>
        <w:t>节  施工</w:t>
      </w:r>
      <w:r>
        <w:rPr>
          <w:rFonts w:hint="eastAsia"/>
          <w:lang w:val="en-US" w:eastAsia="zh-CN"/>
        </w:rPr>
        <w:t>场地</w:t>
      </w:r>
      <w:r>
        <w:rPr>
          <w:rFonts w:hint="eastAsia"/>
        </w:rPr>
        <w:t>内外交通组织方案</w:t>
      </w:r>
      <w:r>
        <w:tab/>
      </w:r>
      <w:r>
        <w:fldChar w:fldCharType="begin"/>
      </w:r>
      <w:r>
        <w:instrText xml:space="preserve"> PAGEREF _Toc3494 \h </w:instrText>
      </w:r>
      <w:r>
        <w:fldChar w:fldCharType="separate"/>
      </w:r>
      <w:r>
        <w:t>221</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_Toc21469 </w:instrText>
      </w:r>
      <w:r>
        <w:rPr>
          <w:rFonts w:ascii="宋体" w:hAnsi="宋体"/>
          <w:bCs/>
          <w:kern w:val="32"/>
        </w:rPr>
        <w:fldChar w:fldCharType="separate"/>
      </w:r>
      <w:r>
        <w:rPr>
          <w:rFonts w:hint="eastAsia"/>
        </w:rPr>
        <w:t>第</w:t>
      </w:r>
      <w:r>
        <w:rPr>
          <w:rFonts w:hint="eastAsia"/>
          <w:lang w:val="en-US" w:eastAsia="zh-CN"/>
        </w:rPr>
        <w:t>五</w:t>
      </w:r>
      <w:r>
        <w:rPr>
          <w:rFonts w:hint="eastAsia"/>
        </w:rPr>
        <w:t>节  主要施工机械设备布置</w:t>
      </w:r>
      <w:r>
        <w:tab/>
      </w:r>
      <w:r>
        <w:fldChar w:fldCharType="begin"/>
      </w:r>
      <w:r>
        <w:instrText xml:space="preserve"> PAGEREF _Toc21469 \h </w:instrText>
      </w:r>
      <w:r>
        <w:fldChar w:fldCharType="separate"/>
      </w:r>
      <w:r>
        <w:t>223</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_Toc22437 </w:instrText>
      </w:r>
      <w:r>
        <w:rPr>
          <w:rFonts w:ascii="宋体" w:hAnsi="宋体"/>
          <w:bCs/>
          <w:kern w:val="32"/>
        </w:rPr>
        <w:fldChar w:fldCharType="separate"/>
      </w:r>
      <w:r>
        <w:rPr>
          <w:rFonts w:hint="eastAsia"/>
        </w:rPr>
        <w:t>第</w:t>
      </w:r>
      <w:r>
        <w:rPr>
          <w:rFonts w:hint="eastAsia"/>
          <w:lang w:val="en-US" w:eastAsia="zh-CN"/>
        </w:rPr>
        <w:t>六</w:t>
      </w:r>
      <w:r>
        <w:rPr>
          <w:rFonts w:hint="eastAsia"/>
        </w:rPr>
        <w:t>节  临时</w:t>
      </w:r>
      <w:r>
        <w:rPr>
          <w:rFonts w:hint="eastAsia"/>
          <w:lang w:val="en-US" w:eastAsia="zh-CN"/>
        </w:rPr>
        <w:t>用水布置</w:t>
      </w:r>
      <w:r>
        <w:tab/>
      </w:r>
      <w:r>
        <w:fldChar w:fldCharType="begin"/>
      </w:r>
      <w:r>
        <w:instrText xml:space="preserve"> PAGEREF _Toc22437 \h </w:instrText>
      </w:r>
      <w:r>
        <w:fldChar w:fldCharType="separate"/>
      </w:r>
      <w:r>
        <w:t>225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_Toc2230 </w:instrText>
      </w:r>
      <w:r>
        <w:rPr>
          <w:rFonts w:ascii="宋体" w:hAnsi="宋体"/>
          <w:bCs/>
          <w:kern w:val="32"/>
        </w:rPr>
        <w:fldChar w:fldCharType="separate"/>
      </w:r>
      <w:r>
        <w:rPr>
          <w:rFonts w:hint="eastAsia"/>
        </w:rPr>
        <w:t>第</w:t>
      </w:r>
      <w:r>
        <w:rPr>
          <w:rFonts w:hint="eastAsia"/>
          <w:lang w:val="en-US" w:eastAsia="zh-CN"/>
        </w:rPr>
        <w:t>七</w:t>
      </w:r>
      <w:r>
        <w:rPr>
          <w:rFonts w:hint="eastAsia"/>
        </w:rPr>
        <w:t>节  临时</w:t>
      </w:r>
      <w:r>
        <w:rPr>
          <w:rFonts w:hint="eastAsia"/>
          <w:lang w:val="en-US" w:eastAsia="zh-CN"/>
        </w:rPr>
        <w:t>用电布置</w:t>
      </w:r>
      <w:r>
        <w:tab/>
      </w:r>
      <w:r>
        <w:fldChar w:fldCharType="begin"/>
      </w:r>
      <w:r>
        <w:instrText xml:space="preserve"> PAGEREF _Toc2230 \h </w:instrText>
      </w:r>
      <w:r>
        <w:fldChar w:fldCharType="separate"/>
      </w:r>
      <w:r>
        <w:t>226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_Toc16689 </w:instrText>
      </w:r>
      <w:r>
        <w:rPr>
          <w:rFonts w:ascii="宋体" w:hAnsi="宋体"/>
          <w:bCs/>
          <w:kern w:val="32"/>
        </w:rPr>
        <w:fldChar w:fldCharType="separate"/>
      </w:r>
      <w:r>
        <w:rPr>
          <w:rFonts w:hint="eastAsia"/>
        </w:rPr>
        <w:t>第</w:t>
      </w:r>
      <w:r>
        <w:rPr>
          <w:rFonts w:hint="eastAsia"/>
          <w:lang w:val="en-US" w:eastAsia="zh-CN"/>
        </w:rPr>
        <w:t>八</w:t>
      </w:r>
      <w:r>
        <w:rPr>
          <w:rFonts w:hint="eastAsia"/>
        </w:rPr>
        <w:t xml:space="preserve">节  </w:t>
      </w:r>
      <w:r>
        <w:rPr>
          <w:rFonts w:hint="eastAsia"/>
          <w:lang w:val="en-US" w:eastAsia="zh-CN"/>
        </w:rPr>
        <w:t>临时消防布置</w:t>
      </w:r>
      <w:r>
        <w:tab/>
      </w:r>
      <w:r>
        <w:fldChar w:fldCharType="begin"/>
      </w:r>
      <w:r>
        <w:instrText xml:space="preserve"> PAGEREF _Toc16689 \h </w:instrText>
      </w:r>
      <w:r>
        <w:fldChar w:fldCharType="separate"/>
      </w:r>
      <w:r>
        <w:t>229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_Toc29161 </w:instrText>
      </w:r>
      <w:r>
        <w:rPr>
          <w:rFonts w:ascii="宋体" w:hAnsi="宋体"/>
          <w:bCs/>
          <w:kern w:val="32"/>
        </w:rPr>
        <w:fldChar w:fldCharType="separate"/>
      </w:r>
      <w:r>
        <w:rPr>
          <w:rFonts w:hint="eastAsia"/>
        </w:rPr>
        <w:t>第</w:t>
      </w:r>
      <w:r>
        <w:rPr>
          <w:rFonts w:hint="eastAsia"/>
          <w:lang w:val="en-US" w:eastAsia="zh-CN"/>
        </w:rPr>
        <w:t>九</w:t>
      </w:r>
      <w:r>
        <w:rPr>
          <w:rFonts w:hint="eastAsia"/>
        </w:rPr>
        <w:t>节  现场排水方案</w:t>
      </w:r>
      <w:r>
        <w:tab/>
      </w:r>
      <w:r>
        <w:fldChar w:fldCharType="begin"/>
      </w:r>
      <w:r>
        <w:instrText xml:space="preserve"> PAGEREF _Toc29161 \h </w:instrText>
      </w:r>
      <w:r>
        <w:fldChar w:fldCharType="separate"/>
      </w:r>
      <w:r>
        <w:t>230</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_Toc22970 </w:instrText>
      </w:r>
      <w:r>
        <w:rPr>
          <w:rFonts w:ascii="宋体" w:hAnsi="宋体"/>
          <w:bCs/>
          <w:kern w:val="32"/>
        </w:rPr>
        <w:fldChar w:fldCharType="separate"/>
      </w:r>
      <w:r>
        <w:rPr>
          <w:rFonts w:hint="eastAsia"/>
        </w:rPr>
        <w:t>第</w:t>
      </w:r>
      <w:r>
        <w:rPr>
          <w:rFonts w:hint="eastAsia"/>
          <w:lang w:val="en-US" w:eastAsia="zh-CN"/>
        </w:rPr>
        <w:t>十</w:t>
      </w:r>
      <w:r>
        <w:rPr>
          <w:rFonts w:hint="eastAsia"/>
        </w:rPr>
        <w:t>章  质量保证措施</w:t>
      </w:r>
      <w:r>
        <w:tab/>
      </w:r>
      <w:r>
        <w:fldChar w:fldCharType="begin"/>
      </w:r>
      <w:r>
        <w:instrText xml:space="preserve"> PAGEREF _Toc22970 \h </w:instrText>
      </w:r>
      <w:r>
        <w:fldChar w:fldCharType="separate"/>
      </w:r>
      <w:r>
        <w:t>232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_Toc23307 </w:instrText>
      </w:r>
      <w:r>
        <w:rPr>
          <w:rFonts w:ascii="宋体" w:hAnsi="宋体"/>
          <w:bCs/>
          <w:kern w:val="32"/>
        </w:rPr>
        <w:fldChar w:fldCharType="separate"/>
      </w:r>
      <w:r>
        <w:rPr>
          <w:rFonts w:hint="eastAsia"/>
        </w:rPr>
        <w:t>第一节  质量目标</w:t>
      </w:r>
      <w:r>
        <w:tab/>
      </w:r>
      <w:r>
        <w:fldChar w:fldCharType="begin"/>
      </w:r>
      <w:r>
        <w:instrText xml:space="preserve"> PAGEREF _Toc23307 \h </w:instrText>
      </w:r>
      <w:r>
        <w:fldChar w:fldCharType="separate"/>
      </w:r>
      <w:r>
        <w:t>232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_Toc30913 </w:instrText>
      </w:r>
      <w:r>
        <w:rPr>
          <w:rFonts w:ascii="宋体" w:hAnsi="宋体"/>
          <w:bCs/>
          <w:kern w:val="32"/>
        </w:rPr>
        <w:fldChar w:fldCharType="separate"/>
      </w:r>
      <w:r>
        <w:rPr>
          <w:rFonts w:hint="eastAsia"/>
        </w:rPr>
        <w:t>第二节  质量管理体系</w:t>
      </w:r>
      <w:r>
        <w:tab/>
      </w:r>
      <w:r>
        <w:fldChar w:fldCharType="begin"/>
      </w:r>
      <w:r>
        <w:instrText xml:space="preserve"> PAGEREF _Toc30913 \h </w:instrText>
      </w:r>
      <w:r>
        <w:fldChar w:fldCharType="separate"/>
      </w:r>
      <w:r>
        <w:t>232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_Toc5841 </w:instrText>
      </w:r>
      <w:r>
        <w:rPr>
          <w:rFonts w:ascii="宋体" w:hAnsi="宋体"/>
          <w:bCs/>
          <w:kern w:val="32"/>
        </w:rPr>
        <w:fldChar w:fldCharType="separate"/>
      </w:r>
      <w:r>
        <w:rPr>
          <w:rFonts w:hint="eastAsia"/>
        </w:rPr>
        <w:t>第三节  质量管理制度</w:t>
      </w:r>
      <w:r>
        <w:tab/>
      </w:r>
      <w:r>
        <w:fldChar w:fldCharType="begin"/>
      </w:r>
      <w:r>
        <w:instrText xml:space="preserve"> PAGEREF _Toc5841 \h </w:instrText>
      </w:r>
      <w:r>
        <w:fldChar w:fldCharType="separate"/>
      </w:r>
      <w:r>
        <w:t>235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_Toc629 </w:instrText>
      </w:r>
      <w:r>
        <w:rPr>
          <w:rFonts w:ascii="宋体" w:hAnsi="宋体"/>
          <w:bCs/>
          <w:kern w:val="32"/>
        </w:rPr>
        <w:fldChar w:fldCharType="separate"/>
      </w:r>
      <w:r>
        <w:rPr>
          <w:rFonts w:hint="eastAsia"/>
        </w:rPr>
        <w:t>第四节  质量保证措施</w:t>
      </w:r>
      <w:r>
        <w:tab/>
      </w:r>
      <w:r>
        <w:fldChar w:fldCharType="begin"/>
      </w:r>
      <w:r>
        <w:instrText xml:space="preserve"> PAGEREF _Toc629 \h </w:instrText>
      </w:r>
      <w:r>
        <w:fldChar w:fldCharType="separate"/>
      </w:r>
      <w:r>
        <w:t>238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_Toc11200 </w:instrText>
      </w:r>
      <w:r>
        <w:rPr>
          <w:rFonts w:ascii="宋体" w:hAnsi="宋体"/>
          <w:bCs/>
          <w:kern w:val="32"/>
        </w:rPr>
        <w:fldChar w:fldCharType="separate"/>
      </w:r>
      <w:r>
        <w:rPr>
          <w:rFonts w:hint="eastAsia"/>
        </w:rPr>
        <w:t>第</w:t>
      </w:r>
      <w:r>
        <w:rPr>
          <w:rFonts w:hint="eastAsia"/>
          <w:lang w:val="en-US" w:eastAsia="zh-CN"/>
        </w:rPr>
        <w:t>五</w:t>
      </w:r>
      <w:r>
        <w:rPr>
          <w:rFonts w:hint="eastAsia"/>
        </w:rPr>
        <w:t>节  常见质量问题分析及防治</w:t>
      </w:r>
      <w:r>
        <w:tab/>
      </w:r>
      <w:r>
        <w:fldChar w:fldCharType="begin"/>
      </w:r>
      <w:r>
        <w:instrText xml:space="preserve"> PAGEREF _Toc11200 \h </w:instrText>
      </w:r>
      <w:r>
        <w:fldChar w:fldCharType="separate"/>
      </w:r>
      <w:r>
        <w:t>243</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_Toc29231 </w:instrText>
      </w:r>
      <w:r>
        <w:rPr>
          <w:rFonts w:ascii="宋体" w:hAnsi="宋体"/>
          <w:bCs/>
          <w:kern w:val="32"/>
        </w:rPr>
        <w:fldChar w:fldCharType="separate"/>
      </w:r>
      <w:r>
        <w:rPr>
          <w:rFonts w:hint="eastAsia"/>
        </w:rPr>
        <w:t>第十</w:t>
      </w:r>
      <w:r>
        <w:rPr>
          <w:rFonts w:hint="eastAsia"/>
          <w:lang w:val="en-US" w:eastAsia="zh-CN"/>
        </w:rPr>
        <w:t>一</w:t>
      </w:r>
      <w:r>
        <w:rPr>
          <w:rFonts w:hint="eastAsia"/>
        </w:rPr>
        <w:t>章  安全保证措施</w:t>
      </w:r>
      <w:r>
        <w:tab/>
      </w:r>
      <w:r>
        <w:fldChar w:fldCharType="begin"/>
      </w:r>
      <w:r>
        <w:instrText xml:space="preserve"> PAGEREF _Toc29231 \h </w:instrText>
      </w:r>
      <w:r>
        <w:fldChar w:fldCharType="separate"/>
      </w:r>
      <w:r>
        <w:t>252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_Toc799 </w:instrText>
      </w:r>
      <w:r>
        <w:rPr>
          <w:rFonts w:ascii="宋体" w:hAnsi="宋体"/>
          <w:bCs/>
          <w:kern w:val="32"/>
        </w:rPr>
        <w:fldChar w:fldCharType="separate"/>
      </w:r>
      <w:r>
        <w:rPr>
          <w:rFonts w:hint="eastAsia"/>
        </w:rPr>
        <w:t>第一节  安全施工目标</w:t>
      </w:r>
      <w:r>
        <w:tab/>
      </w:r>
      <w:r>
        <w:fldChar w:fldCharType="begin"/>
      </w:r>
      <w:r>
        <w:instrText xml:space="preserve"> PAGEREF _Toc799 \h </w:instrText>
      </w:r>
      <w:r>
        <w:fldChar w:fldCharType="separate"/>
      </w:r>
      <w:r>
        <w:t>252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_Toc25095 </w:instrText>
      </w:r>
      <w:r>
        <w:rPr>
          <w:rFonts w:ascii="宋体" w:hAnsi="宋体"/>
          <w:bCs/>
          <w:kern w:val="32"/>
        </w:rPr>
        <w:fldChar w:fldCharType="separate"/>
      </w:r>
      <w:r>
        <w:rPr>
          <w:rFonts w:hint="eastAsia"/>
        </w:rPr>
        <w:t>第二节  安全管理机构人员配备</w:t>
      </w:r>
      <w:r>
        <w:tab/>
      </w:r>
      <w:r>
        <w:fldChar w:fldCharType="begin"/>
      </w:r>
      <w:r>
        <w:instrText xml:space="preserve"> PAGEREF _Toc25095 \h </w:instrText>
      </w:r>
      <w:r>
        <w:fldChar w:fldCharType="separate"/>
      </w:r>
      <w:r>
        <w:t>253</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_Toc5330 </w:instrText>
      </w:r>
      <w:r>
        <w:rPr>
          <w:rFonts w:ascii="宋体" w:hAnsi="宋体"/>
          <w:bCs/>
          <w:kern w:val="32"/>
        </w:rPr>
        <w:fldChar w:fldCharType="separate"/>
      </w:r>
      <w:r>
        <w:rPr>
          <w:rFonts w:hint="eastAsia"/>
        </w:rPr>
        <w:t>第</w:t>
      </w:r>
      <w:r>
        <w:rPr>
          <w:rFonts w:hint="eastAsia"/>
          <w:lang w:val="en-US" w:eastAsia="zh-CN"/>
        </w:rPr>
        <w:t>三</w:t>
      </w:r>
      <w:r>
        <w:rPr>
          <w:rFonts w:hint="eastAsia"/>
        </w:rPr>
        <w:t>节  组织、制度保障</w:t>
      </w:r>
      <w:r>
        <w:tab/>
      </w:r>
      <w:r>
        <w:fldChar w:fldCharType="begin"/>
      </w:r>
      <w:r>
        <w:instrText xml:space="preserve"> PAGEREF _Toc5330 \h </w:instrText>
      </w:r>
      <w:r>
        <w:fldChar w:fldCharType="separate"/>
      </w:r>
      <w:r>
        <w:t>254</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_Toc16342 </w:instrText>
      </w:r>
      <w:r>
        <w:rPr>
          <w:rFonts w:ascii="宋体" w:hAnsi="宋体"/>
          <w:bCs/>
          <w:kern w:val="32"/>
        </w:rPr>
        <w:fldChar w:fldCharType="separate"/>
      </w:r>
      <w:r>
        <w:rPr>
          <w:rFonts w:hint="eastAsia"/>
        </w:rPr>
        <w:t>第</w:t>
      </w:r>
      <w:r>
        <w:rPr>
          <w:rFonts w:hint="eastAsia"/>
          <w:lang w:val="en-US" w:eastAsia="zh-CN"/>
        </w:rPr>
        <w:t>四</w:t>
      </w:r>
      <w:r>
        <w:rPr>
          <w:rFonts w:hint="eastAsia"/>
        </w:rPr>
        <w:t>节  安全生产细部措施</w:t>
      </w:r>
      <w:r>
        <w:tab/>
      </w:r>
      <w:r>
        <w:fldChar w:fldCharType="begin"/>
      </w:r>
      <w:r>
        <w:instrText xml:space="preserve"> PAGEREF _Toc16342 \h </w:instrText>
      </w:r>
      <w:r>
        <w:fldChar w:fldCharType="separate"/>
      </w:r>
      <w:r>
        <w:t>264</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_Toc7885 </w:instrText>
      </w:r>
      <w:r>
        <w:rPr>
          <w:rFonts w:ascii="宋体" w:hAnsi="宋体"/>
          <w:bCs/>
          <w:kern w:val="32"/>
        </w:rPr>
        <w:fldChar w:fldCharType="separate"/>
      </w:r>
      <w:r>
        <w:rPr>
          <w:rFonts w:hint="eastAsia"/>
        </w:rPr>
        <w:t>第</w:t>
      </w:r>
      <w:r>
        <w:rPr>
          <w:rFonts w:hint="eastAsia"/>
          <w:lang w:val="en-US" w:eastAsia="zh-CN"/>
        </w:rPr>
        <w:t>五</w:t>
      </w:r>
      <w:r>
        <w:rPr>
          <w:rFonts w:hint="eastAsia"/>
        </w:rPr>
        <w:t>节  消防管理保证措施</w:t>
      </w:r>
      <w:r>
        <w:tab/>
      </w:r>
      <w:r>
        <w:fldChar w:fldCharType="begin"/>
      </w:r>
      <w:r>
        <w:instrText xml:space="preserve"> PAGEREF _Toc7885 \h </w:instrText>
      </w:r>
      <w:r>
        <w:fldChar w:fldCharType="separate"/>
      </w:r>
      <w:r>
        <w:t>282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_Toc9043 </w:instrText>
      </w:r>
      <w:r>
        <w:rPr>
          <w:rFonts w:ascii="宋体" w:hAnsi="宋体"/>
          <w:bCs/>
          <w:kern w:val="32"/>
        </w:rPr>
        <w:fldChar w:fldCharType="separate"/>
      </w:r>
      <w:r>
        <w:rPr>
          <w:rFonts w:hint="eastAsia"/>
        </w:rPr>
        <w:t>第</w:t>
      </w:r>
      <w:r>
        <w:rPr>
          <w:rFonts w:hint="eastAsia"/>
          <w:lang w:val="en-US" w:eastAsia="zh-CN"/>
        </w:rPr>
        <w:t>六</w:t>
      </w:r>
      <w:r>
        <w:rPr>
          <w:rFonts w:hint="eastAsia"/>
        </w:rPr>
        <w:t>节  治安、保卫管理保证措施</w:t>
      </w:r>
      <w:r>
        <w:tab/>
      </w:r>
      <w:r>
        <w:fldChar w:fldCharType="begin"/>
      </w:r>
      <w:r>
        <w:instrText xml:space="preserve"> PAGEREF _Toc9043 \h </w:instrText>
      </w:r>
      <w:r>
        <w:fldChar w:fldCharType="separate"/>
      </w:r>
      <w:r>
        <w:t>285</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_Toc11568 </w:instrText>
      </w:r>
      <w:r>
        <w:rPr>
          <w:rFonts w:ascii="宋体" w:hAnsi="宋体"/>
          <w:bCs/>
          <w:kern w:val="32"/>
        </w:rPr>
        <w:fldChar w:fldCharType="separate"/>
      </w:r>
      <w:r>
        <w:rPr>
          <w:rFonts w:hint="eastAsia"/>
        </w:rPr>
        <w:t>第</w:t>
      </w:r>
      <w:r>
        <w:rPr>
          <w:rFonts w:hint="eastAsia"/>
          <w:lang w:val="en-US" w:eastAsia="zh-CN"/>
        </w:rPr>
        <w:t>七</w:t>
      </w:r>
      <w:r>
        <w:rPr>
          <w:rFonts w:hint="eastAsia"/>
        </w:rPr>
        <w:t>节  应急预案及演练</w:t>
      </w:r>
      <w:r>
        <w:tab/>
      </w:r>
      <w:r>
        <w:fldChar w:fldCharType="begin"/>
      </w:r>
      <w:r>
        <w:instrText xml:space="preserve"> PAGEREF _Toc11568 \h </w:instrText>
      </w:r>
      <w:r>
        <w:fldChar w:fldCharType="separate"/>
      </w:r>
      <w:r>
        <w:t>285</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_Toc5693 </w:instrText>
      </w:r>
      <w:r>
        <w:rPr>
          <w:rFonts w:ascii="宋体" w:hAnsi="宋体"/>
          <w:bCs/>
          <w:kern w:val="32"/>
        </w:rPr>
        <w:fldChar w:fldCharType="separate"/>
      </w:r>
      <w:r>
        <w:rPr>
          <w:rFonts w:hint="eastAsia"/>
        </w:rPr>
        <w:t>第十</w:t>
      </w:r>
      <w:r>
        <w:rPr>
          <w:rFonts w:hint="eastAsia"/>
          <w:lang w:val="en-US" w:eastAsia="zh-CN"/>
        </w:rPr>
        <w:t>二</w:t>
      </w:r>
      <w:r>
        <w:rPr>
          <w:rFonts w:hint="eastAsia"/>
        </w:rPr>
        <w:t xml:space="preserve">章 </w:t>
      </w:r>
      <w:r>
        <w:rPr>
          <w:rFonts w:hint="eastAsia"/>
          <w:lang w:val="en-US" w:eastAsia="zh-CN"/>
        </w:rPr>
        <w:t xml:space="preserve"> </w:t>
      </w:r>
      <w:r>
        <w:rPr>
          <w:rFonts w:hint="eastAsia"/>
        </w:rPr>
        <w:t>文明施工措施</w:t>
      </w:r>
      <w:r>
        <w:tab/>
      </w:r>
      <w:r>
        <w:fldChar w:fldCharType="begin"/>
      </w:r>
      <w:r>
        <w:instrText xml:space="preserve"> PAGEREF _Toc5693 \h </w:instrText>
      </w:r>
      <w:r>
        <w:fldChar w:fldCharType="separate"/>
      </w:r>
      <w:r>
        <w:t>289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_Toc8282 </w:instrText>
      </w:r>
      <w:r>
        <w:rPr>
          <w:rFonts w:ascii="宋体" w:hAnsi="宋体"/>
          <w:bCs/>
          <w:kern w:val="32"/>
        </w:rPr>
        <w:fldChar w:fldCharType="separate"/>
      </w:r>
      <w:r>
        <w:rPr>
          <w:rFonts w:hint="eastAsia"/>
        </w:rPr>
        <w:t>第一节  文明施工目标</w:t>
      </w:r>
      <w:r>
        <w:tab/>
      </w:r>
      <w:r>
        <w:fldChar w:fldCharType="begin"/>
      </w:r>
      <w:r>
        <w:instrText xml:space="preserve"> PAGEREF _Toc8282 \h </w:instrText>
      </w:r>
      <w:r>
        <w:fldChar w:fldCharType="separate"/>
      </w:r>
      <w:r>
        <w:t>289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_Toc26283 </w:instrText>
      </w:r>
      <w:r>
        <w:rPr>
          <w:rFonts w:ascii="宋体" w:hAnsi="宋体"/>
          <w:bCs/>
          <w:kern w:val="32"/>
        </w:rPr>
        <w:fldChar w:fldCharType="separate"/>
      </w:r>
      <w:r>
        <w:rPr>
          <w:rFonts w:hint="eastAsia"/>
        </w:rPr>
        <w:t>第二节  文明施工管理人员设置</w:t>
      </w:r>
      <w:r>
        <w:tab/>
      </w:r>
      <w:r>
        <w:fldChar w:fldCharType="begin"/>
      </w:r>
      <w:r>
        <w:instrText xml:space="preserve"> PAGEREF _Toc26283 \h </w:instrText>
      </w:r>
      <w:r>
        <w:fldChar w:fldCharType="separate"/>
      </w:r>
      <w:r>
        <w:t>289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_Toc2157 </w:instrText>
      </w:r>
      <w:r>
        <w:rPr>
          <w:rFonts w:ascii="宋体" w:hAnsi="宋体"/>
          <w:bCs/>
          <w:kern w:val="32"/>
        </w:rPr>
        <w:fldChar w:fldCharType="separate"/>
      </w:r>
      <w:r>
        <w:rPr>
          <w:rFonts w:hint="eastAsia"/>
        </w:rPr>
        <w:t>第三节  文明施工管理措施</w:t>
      </w:r>
      <w:r>
        <w:tab/>
      </w:r>
      <w:r>
        <w:fldChar w:fldCharType="begin"/>
      </w:r>
      <w:r>
        <w:instrText xml:space="preserve"> PAGEREF _Toc2157 \h </w:instrText>
      </w:r>
      <w:r>
        <w:fldChar w:fldCharType="separate"/>
      </w:r>
      <w:r>
        <w:t>290</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_Toc7414 </w:instrText>
      </w:r>
      <w:r>
        <w:rPr>
          <w:rFonts w:ascii="宋体" w:hAnsi="宋体"/>
          <w:bCs/>
          <w:kern w:val="32"/>
        </w:rPr>
        <w:fldChar w:fldCharType="separate"/>
      </w:r>
      <w:r>
        <w:rPr>
          <w:rFonts w:hint="eastAsia"/>
        </w:rPr>
        <w:t>第四节  职业健康管理措施</w:t>
      </w:r>
      <w:r>
        <w:tab/>
      </w:r>
      <w:r>
        <w:fldChar w:fldCharType="begin"/>
      </w:r>
      <w:r>
        <w:instrText xml:space="preserve"> PAGEREF _Toc7414 \h </w:instrText>
      </w:r>
      <w:r>
        <w:fldChar w:fldCharType="separate"/>
      </w:r>
      <w:r>
        <w:t>296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_Toc10781 </w:instrText>
      </w:r>
      <w:r>
        <w:rPr>
          <w:rFonts w:ascii="宋体" w:hAnsi="宋体"/>
          <w:bCs/>
          <w:kern w:val="32"/>
        </w:rPr>
        <w:fldChar w:fldCharType="separate"/>
      </w:r>
      <w:r>
        <w:rPr>
          <w:rFonts w:hint="eastAsia"/>
        </w:rPr>
        <w:t>第五节  夜间施工管理措施</w:t>
      </w:r>
      <w:r>
        <w:tab/>
      </w:r>
      <w:r>
        <w:fldChar w:fldCharType="begin"/>
      </w:r>
      <w:r>
        <w:instrText xml:space="preserve"> PAGEREF _Toc10781 \h </w:instrText>
      </w:r>
      <w:r>
        <w:fldChar w:fldCharType="separate"/>
      </w:r>
      <w:r>
        <w:t>300</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_Toc14810 </w:instrText>
      </w:r>
      <w:r>
        <w:rPr>
          <w:rFonts w:ascii="宋体" w:hAnsi="宋体"/>
          <w:bCs/>
          <w:kern w:val="32"/>
        </w:rPr>
        <w:fldChar w:fldCharType="separate"/>
      </w:r>
      <w:r>
        <w:rPr>
          <w:rFonts w:hint="eastAsia"/>
          <w:lang w:val="en-US" w:eastAsia="zh-CN"/>
        </w:rPr>
        <w:t>第十三章  环境保护</w:t>
      </w:r>
      <w:r>
        <w:rPr>
          <w:rFonts w:hint="eastAsia"/>
        </w:rPr>
        <w:t>措施</w:t>
      </w:r>
      <w:r>
        <w:tab/>
      </w:r>
      <w:r>
        <w:fldChar w:fldCharType="begin"/>
      </w:r>
      <w:r>
        <w:instrText xml:space="preserve"> PAGEREF _Toc14810 \h </w:instrText>
      </w:r>
      <w:r>
        <w:fldChar w:fldCharType="separate"/>
      </w:r>
      <w:r>
        <w:t>302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_Toc24249 </w:instrText>
      </w:r>
      <w:r>
        <w:rPr>
          <w:rFonts w:ascii="宋体" w:hAnsi="宋体"/>
          <w:bCs/>
          <w:kern w:val="32"/>
        </w:rPr>
        <w:fldChar w:fldCharType="separate"/>
      </w:r>
      <w:r>
        <w:rPr>
          <w:rFonts w:hint="eastAsia"/>
          <w:lang w:val="en-US" w:eastAsia="zh-CN"/>
        </w:rPr>
        <w:t>第一节  环境保护目标</w:t>
      </w:r>
      <w:r>
        <w:tab/>
      </w:r>
      <w:r>
        <w:fldChar w:fldCharType="begin"/>
      </w:r>
      <w:r>
        <w:instrText xml:space="preserve"> PAGEREF _Toc24249 \h </w:instrText>
      </w:r>
      <w:r>
        <w:fldChar w:fldCharType="separate"/>
      </w:r>
      <w:r>
        <w:t>302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_Toc18117 </w:instrText>
      </w:r>
      <w:r>
        <w:rPr>
          <w:rFonts w:ascii="宋体" w:hAnsi="宋体"/>
          <w:bCs/>
          <w:kern w:val="32"/>
        </w:rPr>
        <w:fldChar w:fldCharType="separate"/>
      </w:r>
      <w:r>
        <w:rPr>
          <w:rFonts w:hint="eastAsia"/>
          <w:lang w:val="en-US" w:eastAsia="zh-CN"/>
        </w:rPr>
        <w:t>第二节  环境保护管理人员设置</w:t>
      </w:r>
      <w:r>
        <w:tab/>
      </w:r>
      <w:r>
        <w:fldChar w:fldCharType="begin"/>
      </w:r>
      <w:r>
        <w:instrText xml:space="preserve"> PAGEREF _Toc18117 \h </w:instrText>
      </w:r>
      <w:r>
        <w:fldChar w:fldCharType="separate"/>
      </w:r>
      <w:r>
        <w:t>302</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_Toc20952 </w:instrText>
      </w:r>
      <w:r>
        <w:rPr>
          <w:rFonts w:ascii="宋体" w:hAnsi="宋体"/>
          <w:bCs/>
          <w:kern w:val="32"/>
        </w:rPr>
        <w:fldChar w:fldCharType="separate"/>
      </w:r>
      <w:r>
        <w:rPr>
          <w:rFonts w:hint="eastAsia"/>
          <w:lang w:val="en-US" w:eastAsia="zh-CN"/>
        </w:rPr>
        <w:t>第三节  环境保护管理措施</w:t>
      </w:r>
      <w:r>
        <w:tab/>
      </w:r>
      <w:r>
        <w:fldChar w:fldCharType="begin"/>
      </w:r>
      <w:r>
        <w:instrText xml:space="preserve"> PAGEREF _Toc20952 \h </w:instrText>
      </w:r>
      <w:r>
        <w:fldChar w:fldCharType="separate"/>
      </w:r>
      <w:r>
        <w:t>303</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_Toc20840 </w:instrText>
      </w:r>
      <w:r>
        <w:rPr>
          <w:rFonts w:ascii="宋体" w:hAnsi="宋体"/>
          <w:bCs/>
          <w:kern w:val="32"/>
        </w:rPr>
        <w:fldChar w:fldCharType="separate"/>
      </w:r>
      <w:r>
        <w:rPr>
          <w:rFonts w:hint="eastAsia"/>
        </w:rPr>
        <w:t>第</w:t>
      </w:r>
      <w:r>
        <w:rPr>
          <w:rFonts w:hint="eastAsia"/>
          <w:lang w:val="en-US" w:eastAsia="zh-CN"/>
        </w:rPr>
        <w:t>十四</w:t>
      </w:r>
      <w:r>
        <w:rPr>
          <w:rFonts w:hint="eastAsia"/>
        </w:rPr>
        <w:t>章  季节性施工措施</w:t>
      </w:r>
      <w:r>
        <w:tab/>
      </w:r>
      <w:r>
        <w:fldChar w:fldCharType="begin"/>
      </w:r>
      <w:r>
        <w:instrText xml:space="preserve"> PAGEREF _Toc20840 \h </w:instrText>
      </w:r>
      <w:r>
        <w:fldChar w:fldCharType="separate"/>
      </w:r>
      <w:r>
        <w:t>308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_Toc28943 </w:instrText>
      </w:r>
      <w:r>
        <w:rPr>
          <w:rFonts w:ascii="宋体" w:hAnsi="宋体"/>
          <w:bCs/>
          <w:kern w:val="32"/>
        </w:rPr>
        <w:fldChar w:fldCharType="separate"/>
      </w:r>
      <w:r>
        <w:rPr>
          <w:rFonts w:hint="eastAsia"/>
        </w:rPr>
        <w:t>第一节  雨季施工措施</w:t>
      </w:r>
      <w:r>
        <w:tab/>
      </w:r>
      <w:r>
        <w:fldChar w:fldCharType="begin"/>
      </w:r>
      <w:r>
        <w:instrText xml:space="preserve"> PAGEREF _Toc28943 \h </w:instrText>
      </w:r>
      <w:r>
        <w:fldChar w:fldCharType="separate"/>
      </w:r>
      <w:r>
        <w:t>308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_Toc29957 </w:instrText>
      </w:r>
      <w:r>
        <w:rPr>
          <w:rFonts w:ascii="宋体" w:hAnsi="宋体"/>
          <w:bCs/>
          <w:kern w:val="32"/>
        </w:rPr>
        <w:fldChar w:fldCharType="separate"/>
      </w:r>
      <w:r>
        <w:rPr>
          <w:rFonts w:hint="eastAsia"/>
        </w:rPr>
        <w:t>第二节  冬季施工措施</w:t>
      </w:r>
      <w:r>
        <w:tab/>
      </w:r>
      <w:r>
        <w:fldChar w:fldCharType="begin"/>
      </w:r>
      <w:r>
        <w:instrText xml:space="preserve"> PAGEREF _Toc29957 \h </w:instrText>
      </w:r>
      <w:r>
        <w:fldChar w:fldCharType="separate"/>
      </w:r>
      <w:r>
        <w:t>308</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_Toc18064 </w:instrText>
      </w:r>
      <w:r>
        <w:rPr>
          <w:rFonts w:ascii="宋体" w:hAnsi="宋体"/>
          <w:bCs/>
          <w:kern w:val="32"/>
        </w:rPr>
        <w:fldChar w:fldCharType="separate"/>
      </w:r>
      <w:r>
        <w:rPr>
          <w:rFonts w:hint="eastAsia"/>
        </w:rPr>
        <w:t>第三节  高温季节人员防暑</w:t>
      </w:r>
      <w:r>
        <w:tab/>
      </w:r>
      <w:r>
        <w:fldChar w:fldCharType="begin"/>
      </w:r>
      <w:r>
        <w:instrText xml:space="preserve"> PAGEREF _Toc18064 \h </w:instrText>
      </w:r>
      <w:r>
        <w:fldChar w:fldCharType="separate"/>
      </w:r>
      <w:r>
        <w:t>309</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_Toc26393 </w:instrText>
      </w:r>
      <w:r>
        <w:rPr>
          <w:rFonts w:ascii="宋体" w:hAnsi="宋体"/>
          <w:bCs/>
          <w:kern w:val="32"/>
        </w:rPr>
        <w:fldChar w:fldCharType="separate"/>
      </w:r>
      <w:r>
        <w:rPr>
          <w:rFonts w:hint="eastAsia"/>
        </w:rPr>
        <w:t>第四节  防汛防台施工措施</w:t>
      </w:r>
      <w:r>
        <w:tab/>
      </w:r>
      <w:r>
        <w:fldChar w:fldCharType="begin"/>
      </w:r>
      <w:r>
        <w:instrText xml:space="preserve"> PAGEREF _Toc26393 \h </w:instrText>
      </w:r>
      <w:r>
        <w:fldChar w:fldCharType="separate"/>
      </w:r>
      <w:r>
        <w:t>310</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_Toc32176 </w:instrText>
      </w:r>
      <w:r>
        <w:rPr>
          <w:rFonts w:ascii="宋体" w:hAnsi="宋体"/>
          <w:bCs/>
          <w:kern w:val="32"/>
        </w:rPr>
        <w:fldChar w:fldCharType="separate"/>
      </w:r>
      <w:r>
        <w:rPr>
          <w:rFonts w:hint="eastAsia"/>
          <w:lang w:val="en-US" w:eastAsia="zh-CN"/>
        </w:rPr>
        <w:t xml:space="preserve">第十五章  </w:t>
      </w:r>
      <w:r>
        <w:rPr>
          <w:rFonts w:hint="eastAsia"/>
        </w:rPr>
        <w:t>技术管理措施</w:t>
      </w:r>
      <w:r>
        <w:tab/>
      </w:r>
      <w:r>
        <w:fldChar w:fldCharType="begin"/>
      </w:r>
      <w:r>
        <w:instrText xml:space="preserve"> PAGEREF _Toc32176 \h </w:instrText>
      </w:r>
      <w:r>
        <w:fldChar w:fldCharType="separate"/>
      </w:r>
      <w:r>
        <w:t>311</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_Toc27208 </w:instrText>
      </w:r>
      <w:r>
        <w:rPr>
          <w:rFonts w:ascii="宋体" w:hAnsi="宋体"/>
          <w:bCs/>
          <w:kern w:val="32"/>
        </w:rPr>
        <w:fldChar w:fldCharType="separate"/>
      </w:r>
      <w:r>
        <w:rPr>
          <w:rFonts w:hint="eastAsia"/>
        </w:rPr>
        <w:t>第一节 项目技术管理人员设置</w:t>
      </w:r>
      <w:r>
        <w:tab/>
      </w:r>
      <w:r>
        <w:fldChar w:fldCharType="begin"/>
      </w:r>
      <w:r>
        <w:instrText xml:space="preserve"> PAGEREF _Toc27208 \h </w:instrText>
      </w:r>
      <w:r>
        <w:fldChar w:fldCharType="separate"/>
      </w:r>
      <w:r>
        <w:t>311</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_Toc2204 </w:instrText>
      </w:r>
      <w:r>
        <w:rPr>
          <w:rFonts w:ascii="宋体" w:hAnsi="宋体"/>
          <w:bCs/>
          <w:kern w:val="32"/>
        </w:rPr>
        <w:fldChar w:fldCharType="separate"/>
      </w:r>
      <w:r>
        <w:rPr>
          <w:rFonts w:hint="eastAsia"/>
        </w:rPr>
        <w:t xml:space="preserve">第二节 </w:t>
      </w:r>
      <w:r>
        <w:rPr>
          <w:rFonts w:hint="eastAsia"/>
          <w:lang w:val="en-US" w:eastAsia="zh-CN"/>
        </w:rPr>
        <w:t xml:space="preserve"> </w:t>
      </w:r>
      <w:r>
        <w:rPr>
          <w:rFonts w:hint="eastAsia"/>
        </w:rPr>
        <w:t>专项施工方案管理措施</w:t>
      </w:r>
      <w:r>
        <w:tab/>
      </w:r>
      <w:r>
        <w:fldChar w:fldCharType="begin"/>
      </w:r>
      <w:r>
        <w:instrText xml:space="preserve"> PAGEREF _Toc2204 \h </w:instrText>
      </w:r>
      <w:r>
        <w:fldChar w:fldCharType="separate"/>
      </w:r>
      <w:r>
        <w:t>311</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_Toc25015 </w:instrText>
      </w:r>
      <w:r>
        <w:rPr>
          <w:rFonts w:ascii="宋体" w:hAnsi="宋体"/>
          <w:bCs/>
          <w:kern w:val="32"/>
        </w:rPr>
        <w:fldChar w:fldCharType="separate"/>
      </w:r>
      <w:r>
        <w:rPr>
          <w:rFonts w:hint="eastAsia"/>
          <w:lang w:val="en-US" w:eastAsia="zh-CN"/>
        </w:rPr>
        <w:t xml:space="preserve">第十六章  </w:t>
      </w:r>
      <w:r>
        <w:rPr>
          <w:rFonts w:hint="eastAsia"/>
          <w:highlight w:val="none"/>
        </w:rPr>
        <w:t>危大工程清单及管控措施</w:t>
      </w:r>
      <w:r>
        <w:tab/>
      </w:r>
      <w:r>
        <w:fldChar w:fldCharType="begin"/>
      </w:r>
      <w:r>
        <w:instrText xml:space="preserve"> PAGEREF _Toc25015 \h </w:instrText>
      </w:r>
      <w:r>
        <w:fldChar w:fldCharType="separate"/>
      </w:r>
      <w:r>
        <w:t>316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_Toc22735 </w:instrText>
      </w:r>
      <w:r>
        <w:rPr>
          <w:rFonts w:ascii="宋体" w:hAnsi="宋体"/>
          <w:bCs/>
          <w:kern w:val="32"/>
        </w:rPr>
        <w:fldChar w:fldCharType="separate"/>
      </w:r>
      <w:r>
        <w:rPr>
          <w:rFonts w:hint="eastAsia"/>
        </w:rPr>
        <w:t>第一节  危大工程清单</w:t>
      </w:r>
      <w:r>
        <w:tab/>
      </w:r>
      <w:r>
        <w:fldChar w:fldCharType="begin"/>
      </w:r>
      <w:r>
        <w:instrText xml:space="preserve"> PAGEREF _Toc22735 \h </w:instrText>
      </w:r>
      <w:r>
        <w:fldChar w:fldCharType="separate"/>
      </w:r>
      <w:r>
        <w:t>316</w:t>
      </w:r>
      <w:r>
        <w:fldChar w:fldCharType="end"/>
      </w:r>
      <w:r>
        <w:rPr>
          <w:rFonts w:ascii="宋体" w:hAnsi="宋体"/>
          <w:bCs/>
          <w:color w:val="000000" w:themeColor="text1"/>
          <w:kern w:val="32"/>
          <w14:textFill>
            <w14:solidFill>
              <w14:schemeClr w14:val="tx1"/>
            </w14:solidFill>
          </w14:textFill>
        </w:rPr>
        <w:fldChar w:fldCharType="end"/>
      </w:r>
    </w:p>
    <w:p>
      <w:pPr>
        <w:pStyle w:val="46"/>
        <w:tabs>
          <w:tab w:val="right" w:leader="dot" w:pos="929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_Toc20542 </w:instrText>
      </w:r>
      <w:r>
        <w:rPr>
          <w:rFonts w:ascii="宋体" w:hAnsi="宋体"/>
          <w:bCs/>
          <w:kern w:val="32"/>
        </w:rPr>
        <w:fldChar w:fldCharType="separate"/>
      </w:r>
      <w:r>
        <w:rPr>
          <w:rFonts w:hint="eastAsia"/>
          <w:lang w:val="en-US" w:eastAsia="zh-CN"/>
        </w:rPr>
        <w:t xml:space="preserve">第二节  </w:t>
      </w:r>
      <w:r>
        <w:rPr>
          <w:rFonts w:hint="eastAsia"/>
        </w:rPr>
        <w:t>危大工程管控措施</w:t>
      </w:r>
      <w:r>
        <w:tab/>
      </w:r>
      <w:r>
        <w:fldChar w:fldCharType="begin"/>
      </w:r>
      <w:r>
        <w:instrText xml:space="preserve"> PAGEREF _Toc20542 \h </w:instrText>
      </w:r>
      <w:r>
        <w:fldChar w:fldCharType="separate"/>
      </w:r>
      <w:r>
        <w:t>317</w:t>
      </w:r>
      <w:r>
        <w:fldChar w:fldCharType="end"/>
      </w:r>
      <w:r>
        <w:rPr>
          <w:rFonts w:ascii="宋体" w:hAnsi="宋体"/>
          <w:bCs/>
          <w:color w:val="000000" w:themeColor="text1"/>
          <w:kern w:val="32"/>
          <w14:textFill>
            <w14:solidFill>
              <w14:schemeClr w14:val="tx1"/>
            </w14:solidFill>
          </w14:textFill>
        </w:rPr>
        <w:fldChar w:fldCharType="end"/>
      </w:r>
    </w:p>
    <w:p>
      <w:pPr>
        <w:pStyle w:val="36"/>
        <w:tabs>
          <w:tab w:val="right" w:leader="dot" w:pos="9298"/>
          <w:tab w:val="clear" w:pos="9388"/>
        </w:tabs>
      </w:pPr>
      <w:r>
        <w:rPr>
          <w:rFonts w:ascii="宋体" w:hAnsi="宋体"/>
          <w:bCs/>
          <w:color w:val="000000" w:themeColor="text1"/>
          <w:kern w:val="32"/>
          <w14:textFill>
            <w14:solidFill>
              <w14:schemeClr w14:val="tx1"/>
            </w14:solidFill>
          </w14:textFill>
        </w:rPr>
        <w:fldChar w:fldCharType="begin"/>
      </w:r>
      <w:r>
        <w:rPr>
          <w:rFonts w:ascii="宋体" w:hAnsi="宋体"/>
          <w:bCs/>
          <w:kern w:val="32"/>
        </w:rPr>
        <w:instrText xml:space="preserve"> HYPERLINK \l _Toc26621 </w:instrText>
      </w:r>
      <w:r>
        <w:rPr>
          <w:rFonts w:ascii="宋体" w:hAnsi="宋体"/>
          <w:bCs/>
          <w:kern w:val="32"/>
        </w:rPr>
        <w:fldChar w:fldCharType="separate"/>
      </w:r>
      <w:r>
        <w:rPr>
          <w:rFonts w:hint="eastAsia"/>
          <w:lang w:eastAsia="zh-CN"/>
        </w:rPr>
        <w:t>第十</w:t>
      </w:r>
      <w:r>
        <w:rPr>
          <w:rFonts w:hint="eastAsia"/>
          <w:lang w:val="en-US" w:eastAsia="zh-CN"/>
        </w:rPr>
        <w:t>七</w:t>
      </w:r>
      <w:r>
        <w:rPr>
          <w:rFonts w:hint="eastAsia"/>
          <w:lang w:eastAsia="zh-CN"/>
        </w:rPr>
        <w:t>章</w:t>
      </w:r>
      <w:r>
        <w:rPr>
          <w:rFonts w:hint="eastAsia"/>
          <w:lang w:val="en-US" w:eastAsia="zh-CN"/>
        </w:rPr>
        <w:t xml:space="preserve">  附图</w:t>
      </w:r>
      <w:r>
        <w:tab/>
      </w:r>
      <w:r>
        <w:fldChar w:fldCharType="begin"/>
      </w:r>
      <w:r>
        <w:instrText xml:space="preserve"> PAGEREF _Toc26621 \h </w:instrText>
      </w:r>
      <w:r>
        <w:fldChar w:fldCharType="separate"/>
      </w:r>
      <w:r>
        <w:t>322</w:t>
      </w:r>
      <w:r>
        <w:fldChar w:fldCharType="end"/>
      </w:r>
      <w:r>
        <w:rPr>
          <w:rFonts w:ascii="宋体" w:hAnsi="宋体"/>
          <w:bCs/>
          <w:color w:val="000000" w:themeColor="text1"/>
          <w:kern w:val="32"/>
          <w14:textFill>
            <w14:solidFill>
              <w14:schemeClr w14:val="tx1"/>
            </w14:solidFill>
          </w14:textFill>
        </w:rPr>
        <w:fldChar w:fldCharType="end"/>
      </w:r>
    </w:p>
    <w:p>
      <w:pPr>
        <w:pStyle w:val="3"/>
        <w:shd w:val="clear"/>
        <w:bidi w:val="0"/>
        <w:rPr>
          <w:rFonts w:hint="eastAsia" w:ascii="Times New Roman" w:hAnsi="Times New Roman" w:eastAsia="宋体" w:cs="Times New Roman"/>
          <w:b/>
          <w:bCs/>
          <w:kern w:val="2"/>
          <w:sz w:val="30"/>
          <w:szCs w:val="24"/>
          <w:lang w:val="en-US" w:eastAsia="zh-CN" w:bidi="ar-SA"/>
        </w:rPr>
      </w:pPr>
      <w:r>
        <w:rPr>
          <w:rFonts w:ascii="宋体" w:hAnsi="宋体"/>
          <w:bCs/>
          <w:color w:val="000000" w:themeColor="text1"/>
          <w:kern w:val="32"/>
          <w14:textFill>
            <w14:solidFill>
              <w14:schemeClr w14:val="tx1"/>
            </w14:solidFill>
          </w14:textFill>
        </w:rPr>
        <w:fldChar w:fldCharType="end"/>
      </w:r>
      <w:bookmarkStart w:id="1" w:name="_Toc25960"/>
      <w:r>
        <w:rPr>
          <w:rFonts w:hint="eastAsia" w:ascii="Times New Roman" w:hAnsi="Times New Roman" w:eastAsia="宋体" w:cs="Times New Roman"/>
          <w:b/>
          <w:bCs/>
          <w:kern w:val="2"/>
          <w:sz w:val="30"/>
          <w:szCs w:val="24"/>
          <w:lang w:val="en-US" w:eastAsia="zh-CN" w:bidi="ar-SA"/>
        </w:rPr>
        <w:t xml:space="preserve"> </w:t>
      </w:r>
      <w:bookmarkEnd w:id="0"/>
      <w:bookmarkStart w:id="2" w:name="_Toc107285993"/>
      <w:bookmarkStart w:id="3" w:name="_Toc184540369"/>
      <w:r>
        <w:rPr>
          <w:rFonts w:hint="eastAsia" w:ascii="Times New Roman" w:hAnsi="Times New Roman" w:eastAsia="宋体" w:cs="Times New Roman"/>
          <w:b/>
          <w:bCs/>
          <w:kern w:val="2"/>
          <w:sz w:val="30"/>
          <w:szCs w:val="24"/>
          <w:lang w:val="en-US" w:eastAsia="zh-CN" w:bidi="ar-SA"/>
        </w:rPr>
        <w:t>第一章  工程概况</w:t>
      </w:r>
      <w:bookmarkEnd w:id="1"/>
      <w:bookmarkEnd w:id="2"/>
      <w:bookmarkEnd w:id="3"/>
    </w:p>
    <w:p>
      <w:pPr>
        <w:shd w:val="clear"/>
        <w:ind w:firstLine="480" w:firstLineChars="200"/>
        <w:rPr>
          <w:color w:val="auto"/>
          <w:u w:val="none"/>
        </w:rPr>
      </w:pPr>
      <w:r>
        <w:rPr>
          <w:rFonts w:hint="eastAsia"/>
          <w:color w:val="auto"/>
          <w:szCs w:val="21"/>
          <w:u w:val="none"/>
          <w:lang w:val="en-US" w:eastAsia="zh-CN"/>
        </w:rPr>
        <w:t>年产1500万平方米特种薄膜、生物医疗薄膜及功能涂层研发生产项目</w:t>
      </w:r>
      <w:r>
        <w:rPr>
          <w:rFonts w:hint="eastAsia"/>
          <w:color w:val="auto"/>
          <w:szCs w:val="24"/>
          <w:u w:val="none"/>
          <w:lang w:eastAsia="zh-CN"/>
        </w:rPr>
        <w:t>主要含</w:t>
      </w:r>
      <w:r>
        <w:rPr>
          <w:rFonts w:hint="eastAsia"/>
          <w:color w:val="auto"/>
          <w:szCs w:val="21"/>
          <w:u w:val="none"/>
        </w:rPr>
        <w:t>施工图范围内的土建及安装、市政附属及综合管线、幕墙、基坑围护等的施工总承包</w:t>
      </w:r>
      <w:r>
        <w:rPr>
          <w:rFonts w:hint="eastAsia"/>
          <w:color w:val="auto"/>
          <w:szCs w:val="21"/>
          <w:u w:val="none"/>
          <w:lang w:eastAsia="zh-CN"/>
        </w:rPr>
        <w:t>。</w:t>
      </w:r>
    </w:p>
    <w:p>
      <w:pPr>
        <w:pStyle w:val="4"/>
        <w:shd w:val="clear"/>
        <w:bidi w:val="0"/>
        <w:rPr>
          <w:rFonts w:hint="eastAsia"/>
        </w:rPr>
      </w:pPr>
      <w:bookmarkStart w:id="4" w:name="_Toc184540370"/>
      <w:bookmarkStart w:id="5" w:name="_Toc6856"/>
      <w:r>
        <w:rPr>
          <w:rFonts w:hint="eastAsia"/>
        </w:rPr>
        <w:t>第一节</w:t>
      </w:r>
      <w:r>
        <w:rPr>
          <w:rFonts w:hint="eastAsia"/>
          <w:lang w:val="en-US" w:eastAsia="zh-CN"/>
        </w:rPr>
        <w:t xml:space="preserve">  </w:t>
      </w:r>
      <w:r>
        <w:rPr>
          <w:rFonts w:hint="eastAsia"/>
        </w:rPr>
        <w:t>工程</w:t>
      </w:r>
      <w:bookmarkEnd w:id="4"/>
      <w:r>
        <w:rPr>
          <w:rFonts w:hint="eastAsia"/>
        </w:rPr>
        <w:t>简介</w:t>
      </w:r>
      <w:bookmarkEnd w:id="5"/>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一、</w:t>
      </w:r>
      <w:r>
        <w:rPr>
          <w:rFonts w:hint="eastAsia"/>
        </w:rPr>
        <w:t>各方主体</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795"/>
        <w:gridCol w:w="6759"/>
      </w:tblGrid>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b/>
                <w:bCs/>
                <w:sz w:val="21"/>
                <w:szCs w:val="21"/>
                <w:lang w:eastAsia="zh-CN"/>
              </w:rPr>
            </w:pPr>
            <w:r>
              <w:rPr>
                <w:rFonts w:hint="eastAsia" w:ascii="宋体" w:hAnsi="宋体"/>
                <w:b/>
                <w:bCs/>
                <w:sz w:val="21"/>
                <w:szCs w:val="21"/>
                <w:lang w:eastAsia="zh-CN"/>
              </w:rPr>
              <w:t>序号</w:t>
            </w:r>
          </w:p>
        </w:tc>
        <w:tc>
          <w:tcPr>
            <w:tcW w:w="17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b/>
                <w:bCs/>
                <w:sz w:val="21"/>
                <w:szCs w:val="21"/>
              </w:rPr>
            </w:pPr>
            <w:r>
              <w:rPr>
                <w:rFonts w:hint="eastAsia"/>
                <w:b/>
                <w:bCs/>
                <w:sz w:val="21"/>
                <w:szCs w:val="21"/>
                <w:lang w:eastAsia="zh-CN"/>
              </w:rPr>
              <w:t>参建单位</w:t>
            </w:r>
          </w:p>
        </w:tc>
        <w:tc>
          <w:tcPr>
            <w:tcW w:w="67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b/>
                <w:bCs/>
                <w:sz w:val="21"/>
                <w:szCs w:val="21"/>
                <w:lang w:eastAsia="zh-CN"/>
              </w:rPr>
            </w:pPr>
            <w:r>
              <w:rPr>
                <w:rFonts w:hint="eastAsia" w:ascii="宋体" w:hAnsi="宋体"/>
                <w:b/>
                <w:bCs/>
                <w:sz w:val="21"/>
                <w:szCs w:val="21"/>
                <w:lang w:eastAsia="zh-CN"/>
              </w:rPr>
              <w:t>单位名称</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1</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建设单位</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cs="Times New Roman"/>
                <w:sz w:val="21"/>
                <w:szCs w:val="21"/>
                <w:lang w:eastAsia="zh-CN"/>
              </w:rPr>
              <w:t>浙江至正应用材料有限公司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val="en-US" w:eastAsia="zh-CN"/>
              </w:rPr>
            </w:pPr>
            <w:r>
              <w:rPr>
                <w:rFonts w:hint="eastAsia" w:ascii="宋体" w:hAnsi="宋体"/>
                <w:sz w:val="21"/>
                <w:szCs w:val="21"/>
                <w:lang w:val="en-US" w:eastAsia="zh-CN"/>
              </w:rPr>
              <w:t>2</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eastAsia="宋体"/>
                <w:sz w:val="21"/>
                <w:szCs w:val="21"/>
                <w:lang w:val="en-US" w:eastAsia="zh-CN"/>
              </w:rPr>
            </w:pPr>
            <w:r>
              <w:rPr>
                <w:rFonts w:hint="eastAsia" w:ascii="宋体" w:hAnsi="宋体"/>
                <w:color w:val="auto"/>
                <w:sz w:val="21"/>
                <w:szCs w:val="21"/>
                <w:lang w:val="en-US" w:eastAsia="zh-CN"/>
              </w:rPr>
              <w:t>全过程咨询公司</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eastAsia="宋体"/>
                <w:sz w:val="21"/>
                <w:szCs w:val="21"/>
                <w:lang w:val="en-US" w:eastAsia="zh-CN"/>
              </w:rPr>
            </w:pPr>
            <w:r>
              <w:rPr>
                <w:rFonts w:hint="eastAsia" w:ascii="宋体" w:hAnsi="宋体"/>
                <w:sz w:val="21"/>
                <w:szCs w:val="21"/>
                <w:lang w:val="en-US" w:eastAsia="zh-CN"/>
              </w:rPr>
              <w:t>宁波安全三江工程咨询招标代理有限公司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eastAsia="zh-CN"/>
              </w:rPr>
            </w:pPr>
            <w:r>
              <w:rPr>
                <w:rFonts w:hint="eastAsia" w:ascii="宋体" w:hAnsi="宋体"/>
                <w:sz w:val="21"/>
                <w:szCs w:val="21"/>
                <w:lang w:val="en-US" w:eastAsia="zh-CN"/>
              </w:rPr>
              <w:t>3</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设计单位</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eastAsia="宋体"/>
                <w:sz w:val="21"/>
                <w:szCs w:val="21"/>
                <w:lang w:val="en-US" w:eastAsia="zh-CN"/>
              </w:rPr>
            </w:pPr>
            <w:r>
              <w:rPr>
                <w:rFonts w:hint="eastAsia" w:ascii="宋体" w:hAnsi="宋体"/>
                <w:sz w:val="21"/>
                <w:szCs w:val="21"/>
                <w:lang w:val="en-US" w:eastAsia="zh-CN"/>
              </w:rPr>
              <w:t>宁波市工业建筑设计研究院有限公司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val="en-US" w:eastAsia="zh-CN"/>
              </w:rPr>
            </w:pPr>
            <w:r>
              <w:rPr>
                <w:rFonts w:hint="eastAsia" w:ascii="宋体" w:hAnsi="宋体"/>
                <w:sz w:val="21"/>
                <w:szCs w:val="21"/>
                <w:lang w:val="en-US" w:eastAsia="zh-CN"/>
              </w:rPr>
              <w:t>4</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eastAsia="zh-CN"/>
              </w:rPr>
            </w:pPr>
            <w:r>
              <w:rPr>
                <w:rFonts w:hint="eastAsia" w:ascii="宋体" w:hAnsi="宋体"/>
                <w:sz w:val="21"/>
                <w:szCs w:val="21"/>
                <w:lang w:eastAsia="zh-CN"/>
              </w:rPr>
              <w:t>围护设计</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sz w:val="21"/>
                <w:szCs w:val="21"/>
                <w:lang w:val="en-US" w:eastAsia="zh-CN"/>
              </w:rPr>
            </w:pPr>
            <w:r>
              <w:rPr>
                <w:rFonts w:hint="eastAsia" w:ascii="宋体" w:hAnsi="宋体"/>
                <w:sz w:val="21"/>
                <w:szCs w:val="21"/>
                <w:lang w:val="en-US" w:eastAsia="zh-CN"/>
              </w:rPr>
              <w:t>浙江鸿晨建筑工程设计研究有限公司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eastAsia="zh-CN"/>
              </w:rPr>
            </w:pPr>
            <w:r>
              <w:rPr>
                <w:rFonts w:hint="eastAsia" w:ascii="宋体" w:hAnsi="宋体"/>
                <w:sz w:val="21"/>
                <w:szCs w:val="21"/>
                <w:lang w:val="en-US" w:eastAsia="zh-CN"/>
              </w:rPr>
              <w:t>5</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监理单位</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eastAsia="宋体"/>
                <w:sz w:val="21"/>
                <w:szCs w:val="21"/>
                <w:lang w:val="en-US" w:eastAsia="zh-CN"/>
              </w:rPr>
            </w:pPr>
            <w:r>
              <w:rPr>
                <w:rFonts w:hint="eastAsia" w:ascii="宋体" w:hAnsi="宋体"/>
                <w:sz w:val="21"/>
                <w:szCs w:val="21"/>
                <w:lang w:val="en-US" w:eastAsia="zh-CN"/>
              </w:rPr>
              <w:t>宁波市天正工程咨询有限公司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eastAsia="zh-CN"/>
              </w:rPr>
            </w:pPr>
            <w:r>
              <w:rPr>
                <w:rFonts w:hint="eastAsia" w:ascii="宋体" w:hAnsi="宋体"/>
                <w:sz w:val="21"/>
                <w:szCs w:val="21"/>
                <w:lang w:val="en-US" w:eastAsia="zh-CN"/>
              </w:rPr>
              <w:t>6</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施工单位</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宁波建工工程集团有限公司</w:t>
            </w:r>
          </w:p>
        </w:tc>
      </w:tr>
      <w:tr>
        <w:trPr>
          <w:trHeight w:val="454" w:hRule="atLeast"/>
          <w:jc w:val="center"/>
        </w:trPr>
        <w:tc>
          <w:tcPr>
            <w:tcW w:w="88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eastAsia" w:ascii="宋体" w:hAnsi="宋体" w:eastAsia="宋体"/>
                <w:sz w:val="21"/>
                <w:szCs w:val="21"/>
                <w:lang w:eastAsia="zh-CN"/>
              </w:rPr>
            </w:pPr>
            <w:r>
              <w:rPr>
                <w:rFonts w:hint="eastAsia" w:ascii="宋体" w:hAnsi="宋体"/>
                <w:sz w:val="21"/>
                <w:szCs w:val="21"/>
                <w:lang w:val="en-US" w:eastAsia="zh-CN"/>
              </w:rPr>
              <w:t>7</w:t>
            </w:r>
          </w:p>
        </w:tc>
        <w:tc>
          <w:tcPr>
            <w:tcW w:w="179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ascii="宋体" w:hAnsi="宋体"/>
                <w:sz w:val="21"/>
                <w:szCs w:val="21"/>
              </w:rPr>
            </w:pPr>
            <w:r>
              <w:rPr>
                <w:rFonts w:hint="eastAsia" w:ascii="宋体" w:hAnsi="宋体"/>
                <w:sz w:val="21"/>
                <w:szCs w:val="21"/>
              </w:rPr>
              <w:t>勘察单位</w:t>
            </w:r>
          </w:p>
        </w:tc>
        <w:tc>
          <w:tcPr>
            <w:tcW w:w="675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hd w:val="clear"/>
              <w:autoSpaceDE w:val="0"/>
              <w:spacing w:before="0" w:beforeAutospacing="0" w:after="0" w:afterAutospacing="0" w:line="240" w:lineRule="auto"/>
              <w:ind w:left="0" w:right="0"/>
              <w:jc w:val="center"/>
              <w:rPr>
                <w:rFonts w:hint="default" w:ascii="宋体" w:hAnsi="宋体" w:eastAsia="宋体"/>
                <w:sz w:val="21"/>
                <w:szCs w:val="21"/>
                <w:lang w:val="en-US" w:eastAsia="zh-CN"/>
              </w:rPr>
            </w:pPr>
            <w:r>
              <w:rPr>
                <w:rFonts w:hint="eastAsia" w:ascii="宋体" w:hAnsi="宋体"/>
                <w:sz w:val="21"/>
                <w:szCs w:val="21"/>
                <w:lang w:val="en-US" w:eastAsia="zh-CN"/>
              </w:rPr>
              <w:t>浙江恒辉勘测设计有限公司</w:t>
            </w:r>
          </w:p>
        </w:tc>
      </w:tr>
    </w:tbl>
    <w:p>
      <w:pPr>
        <w:pStyle w:val="5"/>
        <w:numPr>
          <w:ilvl w:val="0"/>
          <w:numId w:val="0"/>
        </w:numPr>
        <w:shd w:val="clear"/>
        <w:bidi w:val="0"/>
        <w:ind w:left="0" w:leftChars="0" w:firstLine="480" w:firstLineChars="200"/>
        <w:rPr>
          <w:rFonts w:hint="eastAsia"/>
        </w:rPr>
      </w:pPr>
      <w:r>
        <w:rPr>
          <w:rFonts w:hint="eastAsia" w:ascii="Times New Roman" w:hAnsi="Times New Roman" w:eastAsia="宋体" w:cs="Times New Roman"/>
          <w:b/>
          <w:bCs/>
          <w:kern w:val="2"/>
          <w:sz w:val="24"/>
          <w:szCs w:val="32"/>
          <w:lang w:val="en-US" w:eastAsia="zh-CN" w:bidi="ar-SA"/>
        </w:rPr>
        <w:t>二、</w:t>
      </w:r>
      <w:r>
        <w:rPr>
          <w:rFonts w:hint="eastAsia"/>
        </w:rPr>
        <w:t>施工要求</w:t>
      </w:r>
    </w:p>
    <w:tbl>
      <w:tblPr>
        <w:tblStyle w:val="55"/>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7"/>
        <w:gridCol w:w="1900"/>
        <w:gridCol w:w="6663"/>
      </w:tblGrid>
      <w:tr>
        <w:trPr>
          <w:trHeight w:val="454"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hint="eastAsia" w:ascii="宋体" w:hAnsi="宋体" w:eastAsia="宋体"/>
                <w:b/>
                <w:bCs/>
                <w:color w:val="000000"/>
                <w:sz w:val="21"/>
                <w:szCs w:val="21"/>
              </w:rPr>
            </w:pPr>
            <w:r>
              <w:rPr>
                <w:rFonts w:hint="eastAsia" w:ascii="宋体" w:hAnsi="宋体" w:eastAsia="宋体"/>
                <w:b/>
                <w:bCs/>
                <w:color w:val="000000"/>
                <w:sz w:val="21"/>
                <w:szCs w:val="21"/>
              </w:rPr>
              <w:t>序号</w:t>
            </w:r>
          </w:p>
        </w:tc>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hint="eastAsia" w:ascii="宋体" w:hAnsi="宋体" w:eastAsia="宋体"/>
                <w:b/>
                <w:bCs/>
                <w:color w:val="000000"/>
                <w:sz w:val="21"/>
                <w:szCs w:val="21"/>
              </w:rPr>
            </w:pPr>
            <w:r>
              <w:rPr>
                <w:rFonts w:hint="eastAsia" w:ascii="宋体" w:hAnsi="宋体" w:eastAsia="宋体"/>
                <w:b/>
                <w:bCs/>
                <w:color w:val="000000"/>
                <w:sz w:val="21"/>
                <w:szCs w:val="21"/>
              </w:rPr>
              <w:t>工程目标</w:t>
            </w:r>
          </w:p>
        </w:tc>
        <w:tc>
          <w:tcPr>
            <w:tcW w:w="666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hint="eastAsia" w:ascii="宋体" w:hAnsi="宋体" w:eastAsia="宋体"/>
                <w:b/>
                <w:bCs/>
                <w:color w:val="000000"/>
                <w:sz w:val="21"/>
                <w:szCs w:val="21"/>
              </w:rPr>
            </w:pPr>
            <w:r>
              <w:rPr>
                <w:rFonts w:hint="eastAsia" w:ascii="宋体" w:hAnsi="宋体" w:eastAsia="宋体"/>
                <w:b/>
                <w:bCs/>
                <w:color w:val="000000"/>
                <w:sz w:val="21"/>
                <w:szCs w:val="21"/>
              </w:rPr>
              <w:t>目标内容</w:t>
            </w:r>
          </w:p>
        </w:tc>
      </w:tr>
      <w:tr>
        <w:trPr>
          <w:trHeight w:val="454"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ascii="宋体" w:hAnsi="宋体" w:eastAsia="宋体"/>
                <w:sz w:val="21"/>
                <w:szCs w:val="21"/>
              </w:rPr>
            </w:pPr>
            <w:r>
              <w:rPr>
                <w:rFonts w:hint="eastAsia" w:ascii="宋体" w:hAnsi="宋体" w:eastAsia="宋体"/>
                <w:sz w:val="21"/>
                <w:szCs w:val="21"/>
              </w:rPr>
              <w:t>1</w:t>
            </w:r>
          </w:p>
        </w:tc>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rPr>
                <w:rFonts w:hAnsi="宋体" w:cs="宋体"/>
                <w:sz w:val="21"/>
                <w:szCs w:val="21"/>
              </w:rPr>
            </w:pPr>
            <w:r>
              <w:rPr>
                <w:rFonts w:hint="eastAsia" w:ascii="宋体" w:hAnsi="宋体" w:eastAsia="宋体"/>
                <w:color w:val="000000"/>
                <w:sz w:val="21"/>
                <w:szCs w:val="21"/>
              </w:rPr>
              <w:t>质量标准要求</w:t>
            </w:r>
          </w:p>
        </w:tc>
        <w:tc>
          <w:tcPr>
            <w:tcW w:w="66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utoSpaceDE w:val="0"/>
              <w:spacing w:before="0" w:beforeAutospacing="0" w:after="0" w:afterAutospacing="0" w:line="240" w:lineRule="auto"/>
              <w:ind w:left="0" w:right="0"/>
              <w:rPr>
                <w:rFonts w:ascii="宋体" w:hAnsi="宋体"/>
                <w:color w:val="auto"/>
                <w:sz w:val="21"/>
                <w:szCs w:val="21"/>
              </w:rPr>
            </w:pPr>
            <w:r>
              <w:rPr>
                <w:rFonts w:hint="eastAsia" w:ascii="宋体" w:hAnsi="宋体" w:eastAsia="宋体" w:cs="Times New Roman"/>
                <w:color w:val="auto"/>
                <w:kern w:val="2"/>
                <w:sz w:val="21"/>
                <w:szCs w:val="21"/>
                <w:lang w:val="en-US" w:eastAsia="zh-CN" w:bidi="ar-SA"/>
              </w:rPr>
              <w:t>按国家施工验收规范一次性验收合格标准。</w:t>
            </w:r>
          </w:p>
        </w:tc>
      </w:tr>
      <w:tr>
        <w:trPr>
          <w:trHeight w:val="454"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ascii="宋体" w:hAnsi="宋体" w:eastAsia="宋体"/>
                <w:sz w:val="21"/>
                <w:szCs w:val="21"/>
              </w:rPr>
            </w:pPr>
            <w:r>
              <w:rPr>
                <w:rFonts w:hint="eastAsia" w:ascii="宋体" w:hAnsi="宋体" w:eastAsia="宋体"/>
                <w:sz w:val="21"/>
                <w:szCs w:val="21"/>
              </w:rPr>
              <w:t>2</w:t>
            </w:r>
          </w:p>
        </w:tc>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rPr>
                <w:rFonts w:hAnsi="宋体" w:cs="宋体"/>
                <w:sz w:val="21"/>
                <w:szCs w:val="21"/>
              </w:rPr>
            </w:pPr>
            <w:r>
              <w:rPr>
                <w:rFonts w:hint="eastAsia" w:ascii="宋体" w:hAnsi="宋体" w:eastAsia="宋体"/>
                <w:color w:val="000000"/>
                <w:sz w:val="21"/>
                <w:szCs w:val="21"/>
              </w:rPr>
              <w:t>安全等级要求</w:t>
            </w:r>
          </w:p>
        </w:tc>
        <w:tc>
          <w:tcPr>
            <w:tcW w:w="666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rPr>
                <w:rFonts w:ascii="宋体" w:hAnsi="宋体" w:eastAsia="宋体"/>
                <w:color w:val="auto"/>
                <w:sz w:val="21"/>
                <w:szCs w:val="21"/>
              </w:rPr>
            </w:pPr>
            <w:r>
              <w:rPr>
                <w:rFonts w:hint="eastAsia" w:ascii="Times New Roman" w:hAnsi="Times New Roman" w:eastAsia="宋体" w:cs="Times New Roman"/>
                <w:color w:val="auto"/>
                <w:kern w:val="2"/>
                <w:sz w:val="21"/>
                <w:szCs w:val="21"/>
                <w:lang w:val="en-US" w:eastAsia="zh-CN" w:bidi="ar"/>
              </w:rPr>
              <w:t>合格。</w:t>
            </w:r>
          </w:p>
        </w:tc>
      </w:tr>
      <w:tr>
        <w:trPr>
          <w:trHeight w:val="454"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jc w:val="center"/>
              <w:rPr>
                <w:rFonts w:ascii="宋体" w:hAnsi="宋体" w:eastAsia="宋体"/>
                <w:sz w:val="21"/>
                <w:szCs w:val="21"/>
              </w:rPr>
            </w:pPr>
            <w:r>
              <w:rPr>
                <w:rFonts w:hint="eastAsia" w:ascii="宋体" w:hAnsi="宋体" w:eastAsia="宋体"/>
                <w:sz w:val="21"/>
                <w:szCs w:val="21"/>
              </w:rPr>
              <w:t>3</w:t>
            </w:r>
          </w:p>
        </w:tc>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rPr>
                <w:rFonts w:hAnsi="宋体" w:cs="宋体"/>
                <w:sz w:val="21"/>
                <w:szCs w:val="21"/>
              </w:rPr>
            </w:pPr>
            <w:r>
              <w:rPr>
                <w:rFonts w:hint="eastAsia" w:ascii="宋体" w:hAnsi="宋体" w:eastAsia="宋体"/>
                <w:color w:val="000000"/>
                <w:sz w:val="21"/>
                <w:szCs w:val="21"/>
              </w:rPr>
              <w:t>工期要求</w:t>
            </w:r>
          </w:p>
        </w:tc>
        <w:tc>
          <w:tcPr>
            <w:tcW w:w="666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2"/>
              <w:keepNext w:val="0"/>
              <w:keepLines w:val="0"/>
              <w:suppressLineNumbers w:val="0"/>
              <w:shd w:val="clear"/>
              <w:autoSpaceDE w:val="0"/>
              <w:spacing w:before="0" w:beforeAutospacing="0" w:after="0" w:afterAutospacing="0" w:line="240" w:lineRule="auto"/>
              <w:ind w:left="0" w:right="0"/>
              <w:rPr>
                <w:rFonts w:hint="eastAsia"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 xml:space="preserve"> </w:t>
            </w:r>
            <w:r>
              <w:rPr>
                <w:rFonts w:hint="eastAsia" w:ascii="Times New Roman" w:hAnsi="Times New Roman" w:cs="Times New Roman"/>
                <w:color w:val="auto"/>
                <w:kern w:val="2"/>
                <w:sz w:val="21"/>
                <w:szCs w:val="21"/>
                <w:u w:val="single"/>
                <w:lang w:val="en-US" w:eastAsia="zh-CN" w:bidi="ar"/>
              </w:rPr>
              <w:t xml:space="preserve"> 540 </w:t>
            </w:r>
            <w:r>
              <w:rPr>
                <w:rFonts w:hint="eastAsia" w:ascii="Times New Roman" w:hAnsi="Times New Roman" w:eastAsia="宋体" w:cs="Times New Roman"/>
                <w:color w:val="auto"/>
                <w:kern w:val="2"/>
                <w:sz w:val="21"/>
                <w:szCs w:val="21"/>
                <w:lang w:val="en-US" w:eastAsia="zh-CN" w:bidi="ar"/>
              </w:rPr>
              <w:t>日历天</w:t>
            </w:r>
          </w:p>
          <w:p>
            <w:pPr>
              <w:pStyle w:val="22"/>
              <w:keepNext w:val="0"/>
              <w:keepLines w:val="0"/>
              <w:suppressLineNumbers w:val="0"/>
              <w:shd w:val="clear"/>
              <w:autoSpaceDE w:val="0"/>
              <w:spacing w:before="0" w:beforeAutospacing="0" w:after="0" w:afterAutospacing="0" w:line="240" w:lineRule="auto"/>
              <w:ind w:left="0" w:right="0"/>
              <w:rPr>
                <w:rFonts w:hint="default" w:ascii="Times New Roman" w:hAnsi="Times New Roman" w:cs="Times New Roman"/>
                <w:color w:val="auto"/>
                <w:kern w:val="2"/>
                <w:sz w:val="21"/>
                <w:szCs w:val="21"/>
                <w:highlight w:val="none"/>
                <w:u w:val="single"/>
                <w:lang w:val="en-US" w:eastAsia="zh-CN" w:bidi="ar"/>
              </w:rPr>
            </w:pPr>
            <w:r>
              <w:rPr>
                <w:rFonts w:hint="eastAsia" w:ascii="Times New Roman" w:hAnsi="Times New Roman" w:cs="Times New Roman"/>
                <w:color w:val="auto"/>
                <w:kern w:val="2"/>
                <w:sz w:val="21"/>
                <w:szCs w:val="21"/>
                <w:highlight w:val="none"/>
                <w:lang w:val="en-US" w:eastAsia="zh-CN" w:bidi="ar"/>
              </w:rPr>
              <w:t>计划开工日期：</w:t>
            </w:r>
            <w:r>
              <w:rPr>
                <w:rFonts w:hint="eastAsia" w:ascii="Times New Roman" w:hAnsi="Times New Roman" w:cs="Times New Roman"/>
                <w:color w:val="auto"/>
                <w:kern w:val="2"/>
                <w:sz w:val="21"/>
                <w:szCs w:val="21"/>
                <w:highlight w:val="none"/>
                <w:u w:val="single"/>
                <w:lang w:val="en-US" w:eastAsia="zh-CN" w:bidi="ar"/>
              </w:rPr>
              <w:t xml:space="preserve"> 2024年11月02日   </w:t>
            </w:r>
          </w:p>
          <w:p>
            <w:pPr>
              <w:pStyle w:val="22"/>
              <w:keepNext w:val="0"/>
              <w:keepLines w:val="0"/>
              <w:suppressLineNumbers w:val="0"/>
              <w:shd w:val="clear"/>
              <w:autoSpaceDE w:val="0"/>
              <w:spacing w:before="0" w:beforeAutospacing="0" w:after="0" w:afterAutospacing="0" w:line="240" w:lineRule="auto"/>
              <w:ind w:left="0" w:right="0"/>
              <w:rPr>
                <w:rFonts w:hint="default" w:ascii="Times New Roman" w:hAnsi="Times New Roman" w:cs="Times New Roman"/>
                <w:color w:val="auto"/>
                <w:kern w:val="2"/>
                <w:sz w:val="21"/>
                <w:szCs w:val="21"/>
                <w:u w:val="single"/>
                <w:lang w:val="en-US" w:eastAsia="zh-CN" w:bidi="ar"/>
              </w:rPr>
            </w:pPr>
            <w:r>
              <w:rPr>
                <w:rFonts w:hint="eastAsia" w:ascii="Times New Roman" w:hAnsi="Times New Roman" w:cs="Times New Roman"/>
                <w:color w:val="auto"/>
                <w:kern w:val="2"/>
                <w:sz w:val="21"/>
                <w:szCs w:val="21"/>
                <w:highlight w:val="none"/>
                <w:u w:val="none"/>
                <w:lang w:val="en-US" w:eastAsia="zh-CN" w:bidi="ar"/>
              </w:rPr>
              <w:t>计划竣工日期：</w:t>
            </w:r>
            <w:r>
              <w:rPr>
                <w:rFonts w:hint="eastAsia" w:ascii="Times New Roman" w:hAnsi="Times New Roman" w:cs="Times New Roman"/>
                <w:color w:val="auto"/>
                <w:kern w:val="2"/>
                <w:sz w:val="21"/>
                <w:szCs w:val="21"/>
                <w:highlight w:val="none"/>
                <w:u w:val="single"/>
                <w:lang w:val="en-US" w:eastAsia="zh-CN" w:bidi="ar"/>
              </w:rPr>
              <w:t xml:space="preserve"> 2026年05月03日   </w:t>
            </w:r>
          </w:p>
        </w:tc>
      </w:tr>
    </w:tbl>
    <w:p>
      <w:pPr>
        <w:pStyle w:val="5"/>
        <w:numPr>
          <w:ilvl w:val="0"/>
          <w:numId w:val="0"/>
        </w:numPr>
        <w:shd w:val="clear"/>
        <w:bidi w:val="0"/>
        <w:ind w:left="0" w:leftChars="0" w:firstLine="480" w:firstLineChars="200"/>
        <w:rPr>
          <w:rFonts w:hint="eastAsia"/>
        </w:rPr>
      </w:pPr>
      <w:r>
        <w:rPr>
          <w:rFonts w:hint="eastAsia" w:ascii="Times New Roman" w:hAnsi="Times New Roman" w:eastAsia="宋体" w:cs="Times New Roman"/>
          <w:b/>
          <w:bCs/>
          <w:kern w:val="2"/>
          <w:sz w:val="24"/>
          <w:szCs w:val="32"/>
          <w:lang w:val="en-US" w:eastAsia="zh-CN" w:bidi="ar-SA"/>
        </w:rPr>
        <w:t>三、</w:t>
      </w:r>
      <w:r>
        <w:rPr>
          <w:rFonts w:hint="eastAsia"/>
        </w:rPr>
        <w:t>工程概述</w:t>
      </w:r>
    </w:p>
    <w:tbl>
      <w:tblPr>
        <w:tblStyle w:val="55"/>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81"/>
        <w:gridCol w:w="2061"/>
        <w:gridCol w:w="1946"/>
        <w:gridCol w:w="3622"/>
      </w:tblGrid>
      <w:tr>
        <w:trPr>
          <w:trHeight w:val="496" w:hRule="atLeast"/>
          <w:jc w:val="center"/>
        </w:trPr>
        <w:tc>
          <w:tcPr>
            <w:tcW w:w="1781" w:type="dxa"/>
            <w:shd w:val="clear" w:color="auto" w:fill="auto"/>
            <w:noWrap w:val="0"/>
            <w:vAlign w:val="center"/>
          </w:tcPr>
          <w:p>
            <w:pPr>
              <w:pStyle w:val="292"/>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工程名称</w:t>
            </w:r>
          </w:p>
        </w:tc>
        <w:tc>
          <w:tcPr>
            <w:tcW w:w="7629" w:type="dxa"/>
            <w:gridSpan w:val="3"/>
            <w:shd w:val="clear" w:color="auto" w:fill="auto"/>
            <w:noWrap w:val="0"/>
            <w:vAlign w:val="center"/>
          </w:tcPr>
          <w:p>
            <w:pPr>
              <w:pStyle w:val="292"/>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年产1500万平方米特种薄膜、生物医疗薄膜及功能涂层研发生产项目</w:t>
            </w:r>
          </w:p>
        </w:tc>
      </w:tr>
      <w:tr>
        <w:trPr>
          <w:trHeight w:val="564"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建设地点</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default"/>
                <w:kern w:val="2"/>
                <w:sz w:val="21"/>
                <w:szCs w:val="21"/>
                <w:lang w:val="en-US" w:eastAsia="zh-CN"/>
              </w:rPr>
            </w:pPr>
            <w:r>
              <w:rPr>
                <w:rFonts w:hint="eastAsia"/>
                <w:kern w:val="2"/>
                <w:sz w:val="21"/>
                <w:szCs w:val="21"/>
                <w:lang w:val="en-US" w:eastAsia="zh-CN"/>
              </w:rPr>
              <w:t>宁波市江北区，地块西至姜湖路、南至长阳路、北临JB17-03-22e地块，东侧为未开发用地</w:t>
            </w:r>
          </w:p>
        </w:tc>
      </w:tr>
      <w:tr>
        <w:trPr>
          <w:trHeight w:val="464" w:hRule="atLeast"/>
          <w:jc w:val="center"/>
        </w:trPr>
        <w:tc>
          <w:tcPr>
            <w:tcW w:w="1781" w:type="dxa"/>
            <w:vMerge w:val="restart"/>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总用地建筑面积</w:t>
            </w:r>
          </w:p>
        </w:tc>
        <w:tc>
          <w:tcPr>
            <w:tcW w:w="2061" w:type="dxa"/>
            <w:vMerge w:val="restart"/>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 xml:space="preserve">    16066 ㎡</w:t>
            </w:r>
          </w:p>
        </w:tc>
        <w:tc>
          <w:tcPr>
            <w:tcW w:w="1946" w:type="dxa"/>
            <w:vMerge w:val="restart"/>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总建筑面积：</w:t>
            </w:r>
          </w:p>
          <w:p>
            <w:pPr>
              <w:pStyle w:val="291"/>
              <w:keepNext w:val="0"/>
              <w:keepLines w:val="0"/>
              <w:widowControl w:val="0"/>
              <w:suppressLineNumbers w:val="0"/>
              <w:shd w:val="clear"/>
              <w:bidi w:val="0"/>
              <w:spacing w:before="0" w:beforeAutospacing="0" w:after="0" w:afterAutospacing="0"/>
              <w:ind w:left="0" w:right="0" w:firstLine="210" w:firstLineChars="100"/>
              <w:jc w:val="both"/>
              <w:rPr>
                <w:rFonts w:hint="eastAsia"/>
                <w:kern w:val="2"/>
                <w:sz w:val="21"/>
                <w:szCs w:val="21"/>
                <w:lang w:val="en-US" w:eastAsia="zh-CN"/>
              </w:rPr>
            </w:pPr>
            <w:r>
              <w:rPr>
                <w:rFonts w:hint="eastAsia"/>
                <w:kern w:val="2"/>
                <w:sz w:val="21"/>
                <w:szCs w:val="21"/>
                <w:lang w:val="en-US" w:eastAsia="zh-CN"/>
              </w:rPr>
              <w:t>54826.63 ㎡</w:t>
            </w:r>
          </w:p>
        </w:tc>
        <w:tc>
          <w:tcPr>
            <w:tcW w:w="3622"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地上  45000.04  ㎡</w:t>
            </w:r>
          </w:p>
        </w:tc>
      </w:tr>
      <w:tr>
        <w:trPr>
          <w:trHeight w:val="515" w:hRule="atLeast"/>
          <w:jc w:val="center"/>
        </w:trPr>
        <w:tc>
          <w:tcPr>
            <w:tcW w:w="1781" w:type="dxa"/>
            <w:vMerge w:val="continue"/>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p>
        </w:tc>
        <w:tc>
          <w:tcPr>
            <w:tcW w:w="2061" w:type="dxa"/>
            <w:vMerge w:val="continue"/>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p>
        </w:tc>
        <w:tc>
          <w:tcPr>
            <w:tcW w:w="1946" w:type="dxa"/>
            <w:vMerge w:val="continue"/>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p>
        </w:tc>
        <w:tc>
          <w:tcPr>
            <w:tcW w:w="3622"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地下：9826.59  ㎡</w:t>
            </w:r>
          </w:p>
        </w:tc>
      </w:tr>
      <w:tr>
        <w:trPr>
          <w:trHeight w:val="863"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场地地面粗糙度</w:t>
            </w:r>
          </w:p>
        </w:tc>
        <w:tc>
          <w:tcPr>
            <w:tcW w:w="206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default"/>
                <w:kern w:val="2"/>
                <w:sz w:val="21"/>
                <w:szCs w:val="21"/>
                <w:lang w:val="en-US" w:eastAsia="zh-CN"/>
              </w:rPr>
            </w:pPr>
            <w:r>
              <w:rPr>
                <w:rFonts w:hint="eastAsia"/>
                <w:kern w:val="2"/>
                <w:sz w:val="21"/>
                <w:szCs w:val="21"/>
                <w:lang w:val="en-US" w:eastAsia="zh-CN"/>
              </w:rPr>
              <w:t xml:space="preserve"> B 类</w:t>
            </w:r>
          </w:p>
        </w:tc>
        <w:tc>
          <w:tcPr>
            <w:tcW w:w="1946"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设计基本风压</w:t>
            </w:r>
          </w:p>
        </w:tc>
        <w:tc>
          <w:tcPr>
            <w:tcW w:w="3622"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50年一遇基本风压0.5KN/m</w:t>
            </w:r>
          </w:p>
          <w:p>
            <w:pPr>
              <w:pStyle w:val="291"/>
              <w:keepNext w:val="0"/>
              <w:keepLines w:val="0"/>
              <w:widowControl w:val="0"/>
              <w:suppressLineNumbers w:val="0"/>
              <w:shd w:val="clear"/>
              <w:bidi w:val="0"/>
              <w:spacing w:before="0" w:beforeAutospacing="0" w:after="0" w:afterAutospacing="0"/>
              <w:ind w:left="0" w:right="0"/>
              <w:rPr>
                <w:rFonts w:hint="default"/>
                <w:kern w:val="2"/>
                <w:sz w:val="21"/>
                <w:szCs w:val="21"/>
                <w:lang w:val="en-US" w:eastAsia="zh-CN"/>
              </w:rPr>
            </w:pPr>
            <w:r>
              <w:rPr>
                <w:rFonts w:hint="eastAsia"/>
                <w:kern w:val="2"/>
                <w:sz w:val="21"/>
                <w:szCs w:val="21"/>
                <w:lang w:val="en-US" w:eastAsia="zh-CN"/>
              </w:rPr>
              <w:t>1</w:t>
            </w:r>
            <w:r>
              <w:rPr>
                <w:rFonts w:hint="default"/>
                <w:kern w:val="2"/>
                <w:sz w:val="21"/>
                <w:szCs w:val="21"/>
                <w:lang w:val="en-US" w:eastAsia="zh-CN"/>
              </w:rPr>
              <w:t>0年一遇基本风压0.</w:t>
            </w:r>
            <w:r>
              <w:rPr>
                <w:rFonts w:hint="eastAsia"/>
                <w:kern w:val="2"/>
                <w:sz w:val="21"/>
                <w:szCs w:val="21"/>
                <w:lang w:val="en-US" w:eastAsia="zh-CN"/>
              </w:rPr>
              <w:t>3</w:t>
            </w:r>
            <w:r>
              <w:rPr>
                <w:rFonts w:hint="default"/>
                <w:kern w:val="2"/>
                <w:sz w:val="21"/>
                <w:szCs w:val="21"/>
                <w:lang w:val="en-US" w:eastAsia="zh-CN"/>
              </w:rPr>
              <w:t>KN/m</w:t>
            </w:r>
          </w:p>
        </w:tc>
      </w:tr>
      <w:tr>
        <w:trPr>
          <w:trHeight w:val="580"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结构类型</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zh-CN" w:eastAsia="en-US"/>
              </w:rPr>
              <w:t>框架结构</w:t>
            </w:r>
          </w:p>
        </w:tc>
      </w:tr>
      <w:tr>
        <w:trPr>
          <w:trHeight w:val="580"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抗震设防烈度</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 xml:space="preserve">     7度</w:t>
            </w:r>
          </w:p>
        </w:tc>
      </w:tr>
      <w:tr>
        <w:trPr>
          <w:trHeight w:val="580"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建筑耐火等级</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 xml:space="preserve">    一级</w:t>
            </w:r>
          </w:p>
        </w:tc>
      </w:tr>
      <w:tr>
        <w:trPr>
          <w:trHeight w:val="1375"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其他</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default"/>
                <w:kern w:val="2"/>
                <w:sz w:val="21"/>
                <w:szCs w:val="21"/>
                <w:lang w:val="en-US" w:eastAsia="zh-CN"/>
              </w:rPr>
            </w:pPr>
            <w:r>
              <w:rPr>
                <w:rFonts w:hint="eastAsia"/>
                <w:kern w:val="2"/>
                <w:sz w:val="21"/>
                <w:szCs w:val="21"/>
                <w:lang w:val="en-US" w:eastAsia="zh-CN"/>
              </w:rPr>
              <w:t>注：±0.000标高相当于1985国家高程为3.350m，场地原始地坪标高-0.350m</w:t>
            </w:r>
          </w:p>
        </w:tc>
      </w:tr>
      <w:tr>
        <w:trPr>
          <w:trHeight w:val="1455"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default"/>
                <w:kern w:val="2"/>
                <w:sz w:val="21"/>
                <w:szCs w:val="21"/>
                <w:lang w:val="en-US" w:eastAsia="zh-CN"/>
              </w:rPr>
            </w:pPr>
            <w:r>
              <w:rPr>
                <w:rFonts w:hint="eastAsia"/>
                <w:kern w:val="2"/>
                <w:sz w:val="21"/>
                <w:szCs w:val="21"/>
                <w:lang w:val="en-US" w:eastAsia="zh-CN"/>
              </w:rPr>
              <w:t>效果图</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kern w:val="2"/>
                <w:szCs w:val="22"/>
              </w:rPr>
              <w:drawing>
                <wp:inline distT="0" distB="0" distL="114300" distR="114300">
                  <wp:extent cx="4372610" cy="3319780"/>
                  <wp:effectExtent l="0" t="0" r="1270" b="2540"/>
                  <wp:docPr id="89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图片 19"/>
                          <pic:cNvPicPr>
                            <a:picLocks noChangeAspect="1"/>
                          </pic:cNvPicPr>
                        </pic:nvPicPr>
                        <pic:blipFill>
                          <a:blip r:embed="rId13"/>
                          <a:stretch>
                            <a:fillRect/>
                          </a:stretch>
                        </pic:blipFill>
                        <pic:spPr>
                          <a:xfrm>
                            <a:off x="0" y="0"/>
                            <a:ext cx="4372610" cy="3319780"/>
                          </a:xfrm>
                          <a:prstGeom prst="rect">
                            <a:avLst/>
                          </a:prstGeom>
                          <a:noFill/>
                          <a:ln>
                            <a:noFill/>
                          </a:ln>
                        </pic:spPr>
                      </pic:pic>
                    </a:graphicData>
                  </a:graphic>
                </wp:inline>
              </w:drawing>
            </w:r>
          </w:p>
        </w:tc>
      </w:tr>
      <w:tr>
        <w:trPr>
          <w:trHeight w:val="1455" w:hRule="atLeast"/>
          <w:jc w:val="center"/>
        </w:trPr>
        <w:tc>
          <w:tcPr>
            <w:tcW w:w="1781" w:type="dxa"/>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t>鸟瞰图</w:t>
            </w:r>
          </w:p>
        </w:tc>
        <w:tc>
          <w:tcPr>
            <w:tcW w:w="7629" w:type="dxa"/>
            <w:gridSpan w:val="3"/>
            <w:shd w:val="clear" w:color="auto" w:fill="auto"/>
            <w:noWrap w:val="0"/>
            <w:vAlign w:val="center"/>
          </w:tcPr>
          <w:p>
            <w:pPr>
              <w:pStyle w:val="291"/>
              <w:keepNext w:val="0"/>
              <w:keepLines w:val="0"/>
              <w:widowControl w:val="0"/>
              <w:suppressLineNumbers w:val="0"/>
              <w:shd w:val="clear"/>
              <w:bidi w:val="0"/>
              <w:spacing w:before="0" w:beforeAutospacing="0" w:after="0" w:afterAutospacing="0"/>
              <w:ind w:left="0" w:right="0"/>
              <w:rPr>
                <w:rFonts w:hint="eastAsia"/>
                <w:kern w:val="2"/>
                <w:sz w:val="21"/>
                <w:szCs w:val="21"/>
                <w:lang w:val="en-US" w:eastAsia="zh-CN"/>
              </w:rPr>
            </w:pPr>
            <w:r>
              <w:rPr>
                <w:rFonts w:hint="eastAsia"/>
                <w:kern w:val="2"/>
                <w:sz w:val="21"/>
                <w:szCs w:val="21"/>
                <w:lang w:val="en-US" w:eastAsia="zh-CN"/>
              </w:rPr>
              <w:drawing>
                <wp:inline distT="0" distB="0" distL="114300" distR="114300">
                  <wp:extent cx="4693920" cy="3516630"/>
                  <wp:effectExtent l="0" t="0" r="0" b="3810"/>
                  <wp:docPr id="2" name="图片 2" descr="DJI_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JI_0078"/>
                          <pic:cNvPicPr>
                            <a:picLocks noChangeAspect="1"/>
                          </pic:cNvPicPr>
                        </pic:nvPicPr>
                        <pic:blipFill>
                          <a:blip r:embed="rId14"/>
                          <a:stretch>
                            <a:fillRect/>
                          </a:stretch>
                        </pic:blipFill>
                        <pic:spPr>
                          <a:xfrm>
                            <a:off x="0" y="0"/>
                            <a:ext cx="4693920" cy="3516630"/>
                          </a:xfrm>
                          <a:prstGeom prst="rect">
                            <a:avLst/>
                          </a:prstGeom>
                        </pic:spPr>
                      </pic:pic>
                    </a:graphicData>
                  </a:graphic>
                </wp:inline>
              </w:drawing>
            </w:r>
          </w:p>
        </w:tc>
      </w:tr>
    </w:tbl>
    <w:p>
      <w:pPr>
        <w:pStyle w:val="5"/>
        <w:numPr>
          <w:ilvl w:val="0"/>
          <w:numId w:val="0"/>
        </w:numPr>
        <w:shd w:val="clear"/>
        <w:bidi w:val="0"/>
        <w:ind w:left="0" w:leftChars="0" w:firstLine="480" w:firstLineChars="200"/>
        <w:rPr>
          <w:rFonts w:hint="eastAsia"/>
          <w:lang w:val="en-US" w:eastAsia="zh-CN"/>
        </w:rPr>
      </w:pPr>
      <w:bookmarkStart w:id="6" w:name="_Toc24370"/>
      <w:bookmarkStart w:id="7" w:name="_Toc184540371"/>
      <w:r>
        <w:rPr>
          <w:rFonts w:hint="eastAsia" w:ascii="Times New Roman" w:hAnsi="Times New Roman" w:eastAsia="宋体" w:cs="Times New Roman"/>
          <w:b/>
          <w:bCs/>
          <w:kern w:val="2"/>
          <w:sz w:val="24"/>
          <w:szCs w:val="32"/>
          <w:lang w:val="en-US" w:eastAsia="zh-CN" w:bidi="ar-SA"/>
        </w:rPr>
        <w:t>四、</w:t>
      </w:r>
      <w:r>
        <w:rPr>
          <w:rFonts w:hint="eastAsia"/>
          <w:lang w:val="en-US" w:eastAsia="zh-CN"/>
        </w:rPr>
        <w:t>单体概况</w:t>
      </w:r>
      <w:bookmarkEnd w:id="6"/>
    </w:p>
    <w:p>
      <w:pPr>
        <w:pageBreakBefore w:val="0"/>
        <w:shd w:val="clear"/>
        <w:kinsoku/>
        <w:wordWrap/>
        <w:overflowPunct/>
        <w:topLinePunct w:val="0"/>
        <w:bidi w:val="0"/>
        <w:adjustRightInd w:val="0"/>
        <w:snapToGrid w:val="0"/>
        <w:spacing w:line="300" w:lineRule="auto"/>
        <w:ind w:firstLine="480"/>
        <w:rPr>
          <w:rFonts w:hint="eastAsia"/>
          <w:color w:val="auto"/>
          <w:sz w:val="24"/>
          <w:szCs w:val="32"/>
        </w:rPr>
      </w:pPr>
      <w:r>
        <w:rPr>
          <w:rFonts w:hint="eastAsia"/>
          <w:color w:val="auto"/>
          <w:sz w:val="24"/>
          <w:szCs w:val="32"/>
        </w:rPr>
        <w:t>本项目主要由</w:t>
      </w:r>
      <w:r>
        <w:rPr>
          <w:rFonts w:hint="eastAsia"/>
          <w:color w:val="auto"/>
          <w:sz w:val="24"/>
          <w:szCs w:val="32"/>
          <w:u w:val="single"/>
          <w:lang w:val="en-US" w:eastAsia="zh-CN"/>
        </w:rPr>
        <w:t xml:space="preserve"> 7 </w:t>
      </w:r>
      <w:r>
        <w:rPr>
          <w:color w:val="auto"/>
          <w:sz w:val="24"/>
          <w:szCs w:val="32"/>
        </w:rPr>
        <w:t>幢</w:t>
      </w:r>
      <w:r>
        <w:rPr>
          <w:rFonts w:hint="eastAsia"/>
          <w:color w:val="auto"/>
          <w:sz w:val="24"/>
          <w:szCs w:val="32"/>
          <w:lang w:eastAsia="zh-CN"/>
        </w:rPr>
        <w:t>单体</w:t>
      </w:r>
      <w:r>
        <w:rPr>
          <w:color w:val="auto"/>
          <w:sz w:val="24"/>
          <w:szCs w:val="32"/>
        </w:rPr>
        <w:t>组成</w:t>
      </w:r>
      <w:r>
        <w:rPr>
          <w:rFonts w:hint="eastAsia"/>
          <w:color w:val="auto"/>
          <w:sz w:val="24"/>
          <w:szCs w:val="32"/>
        </w:rPr>
        <w:t>（含地下室）</w:t>
      </w:r>
      <w:r>
        <w:rPr>
          <w:color w:val="auto"/>
          <w:sz w:val="24"/>
          <w:szCs w:val="32"/>
        </w:rPr>
        <w:t>，地上最高</w:t>
      </w:r>
      <w:r>
        <w:rPr>
          <w:rFonts w:hint="eastAsia"/>
          <w:color w:val="auto"/>
          <w:sz w:val="24"/>
          <w:szCs w:val="32"/>
          <w:lang w:val="en-US" w:eastAsia="zh-CN"/>
        </w:rPr>
        <w:t>12</w:t>
      </w:r>
      <w:r>
        <w:rPr>
          <w:color w:val="auto"/>
          <w:sz w:val="24"/>
          <w:szCs w:val="32"/>
        </w:rPr>
        <w:t>层，地下1层</w:t>
      </w:r>
      <w:r>
        <w:rPr>
          <w:rFonts w:hint="eastAsia"/>
          <w:color w:val="auto"/>
          <w:sz w:val="24"/>
          <w:szCs w:val="32"/>
        </w:rPr>
        <w:t>。具体详见下表：</w:t>
      </w:r>
    </w:p>
    <w:tbl>
      <w:tblPr>
        <w:tblStyle w:val="54"/>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4"/>
        <w:gridCol w:w="1308"/>
        <w:gridCol w:w="1824"/>
        <w:gridCol w:w="732"/>
        <w:gridCol w:w="1200"/>
        <w:gridCol w:w="1236"/>
        <w:gridCol w:w="1308"/>
        <w:gridCol w:w="1258"/>
      </w:tblGrid>
      <w:tr>
        <w:trPr>
          <w:trHeight w:val="632" w:hRule="atLeast"/>
          <w:tblHeader/>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rPr>
            </w:pPr>
            <w:r>
              <w:rPr>
                <w:rFonts w:hint="eastAsia" w:ascii="宋体" w:hAnsi="宋体" w:eastAsia="宋体" w:cs="宋体"/>
                <w:b/>
                <w:bCs/>
                <w:sz w:val="21"/>
                <w:szCs w:val="21"/>
                <w:lang w:bidi="ar"/>
              </w:rPr>
              <w:t>序号</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rPr>
            </w:pPr>
            <w:r>
              <w:rPr>
                <w:rFonts w:hint="eastAsia" w:ascii="宋体" w:hAnsi="宋体" w:eastAsia="宋体" w:cs="宋体"/>
                <w:b/>
                <w:bCs/>
                <w:sz w:val="21"/>
                <w:szCs w:val="21"/>
                <w:lang w:bidi="ar"/>
              </w:rPr>
              <w:t>楼号</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结构类型</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rPr>
            </w:pPr>
            <w:r>
              <w:rPr>
                <w:rFonts w:hint="eastAsia" w:ascii="宋体" w:hAnsi="宋体" w:eastAsia="宋体" w:cs="宋体"/>
                <w:b/>
                <w:bCs/>
                <w:sz w:val="21"/>
                <w:szCs w:val="21"/>
                <w:lang w:bidi="ar"/>
              </w:rPr>
              <w:t>层数</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rPr>
            </w:pPr>
            <w:r>
              <w:rPr>
                <w:rFonts w:hint="eastAsia" w:ascii="宋体" w:hAnsi="宋体" w:eastAsia="宋体" w:cs="宋体"/>
                <w:b/>
                <w:bCs/>
                <w:sz w:val="21"/>
                <w:szCs w:val="21"/>
                <w:lang w:bidi="ar"/>
              </w:rPr>
              <w:t>建筑高度</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lang w:bidi="ar"/>
              </w:rPr>
            </w:pPr>
            <w:r>
              <w:rPr>
                <w:rFonts w:hint="eastAsia" w:ascii="宋体" w:hAnsi="宋体" w:eastAsia="宋体" w:cs="宋体"/>
                <w:b/>
                <w:bCs/>
                <w:sz w:val="21"/>
                <w:szCs w:val="21"/>
                <w:lang w:bidi="ar"/>
              </w:rPr>
              <w:t>防水等级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rPr>
            </w:pPr>
            <w:r>
              <w:rPr>
                <w:rFonts w:hint="eastAsia" w:ascii="宋体" w:hAnsi="宋体" w:eastAsia="宋体" w:cs="宋体"/>
                <w:b/>
                <w:bCs/>
                <w:sz w:val="21"/>
                <w:szCs w:val="21"/>
                <w:lang w:bidi="ar"/>
              </w:rPr>
              <w:t>抗震等级</w:t>
            </w:r>
          </w:p>
        </w:tc>
        <w:tc>
          <w:tcPr>
            <w:tcW w:w="125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bidi="ar"/>
              </w:rPr>
              <w:t>建筑面积</w:t>
            </w: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1#门卫</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框架</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5.15m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leftChars="0" w:right="0" w:right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18.27m</w:t>
            </w:r>
            <w:r>
              <w:rPr>
                <w:rFonts w:hint="eastAsia" w:ascii="宋体" w:hAnsi="宋体" w:cs="宋体"/>
                <w:color w:val="auto"/>
                <w:sz w:val="21"/>
                <w:szCs w:val="21"/>
                <w:vertAlign w:val="superscript"/>
                <w:lang w:val="en-US" w:eastAsia="zh-CN"/>
              </w:rPr>
              <w:t>2</w:t>
            </w: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2</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2-1#厂房</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17.35m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vMerge w:val="restart"/>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leftChars="0" w:right="0" w:rightChars="0"/>
              <w:jc w:val="center"/>
              <w:textAlignment w:val="center"/>
              <w:rPr>
                <w:rFonts w:hint="eastAsia" w:ascii="宋体" w:hAnsi="宋体" w:cs="宋体"/>
                <w:color w:val="auto"/>
                <w:sz w:val="21"/>
                <w:szCs w:val="21"/>
                <w:lang w:val="en-US" w:eastAsia="zh-CN"/>
              </w:rPr>
            </w:pPr>
            <w:r>
              <w:rPr>
                <w:rFonts w:hint="eastAsia" w:cs="宋体"/>
                <w:color w:val="auto"/>
                <w:sz w:val="21"/>
                <w:szCs w:val="21"/>
                <w:lang w:val="en-US" w:eastAsia="zh-CN"/>
              </w:rPr>
              <w:t>27827.28</w:t>
            </w:r>
            <w:r>
              <w:rPr>
                <w:rFonts w:hint="eastAsia" w:ascii="宋体" w:hAnsi="宋体" w:cs="宋体"/>
                <w:color w:val="auto"/>
                <w:sz w:val="21"/>
                <w:szCs w:val="21"/>
                <w:lang w:val="en-US" w:eastAsia="zh-CN"/>
              </w:rPr>
              <w:t>m</w:t>
            </w:r>
            <w:r>
              <w:rPr>
                <w:rFonts w:hint="eastAsia" w:ascii="宋体" w:hAnsi="宋体" w:cs="宋体"/>
                <w:color w:val="auto"/>
                <w:sz w:val="21"/>
                <w:szCs w:val="21"/>
                <w:vertAlign w:val="superscript"/>
                <w:lang w:val="en-US" w:eastAsia="zh-CN"/>
              </w:rPr>
              <w:t>2</w:t>
            </w: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3</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2-2#厂房</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7</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37.35m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二级</w:t>
            </w:r>
          </w:p>
        </w:tc>
        <w:tc>
          <w:tcPr>
            <w:tcW w:w="1258" w:type="dxa"/>
            <w:vMerge w:val="continue"/>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4</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2-3#厂房</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12</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56.85m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vMerge w:val="continue"/>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5</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2-4#厂房</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24.85m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vMerge w:val="continue"/>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6</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3#厂房</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11</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54.65m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leftChars="0" w:right="0" w:rightChars="0"/>
              <w:jc w:val="center"/>
              <w:textAlignment w:val="center"/>
              <w:rPr>
                <w:rFonts w:hint="eastAsia" w:ascii="宋体" w:hAnsi="宋体" w:cs="宋体"/>
                <w:color w:val="auto"/>
                <w:sz w:val="21"/>
                <w:szCs w:val="21"/>
                <w:lang w:val="en-US" w:eastAsia="zh-CN"/>
              </w:rPr>
            </w:pPr>
            <w:r>
              <w:rPr>
                <w:rFonts w:hint="eastAsia" w:cs="宋体"/>
                <w:color w:val="auto"/>
                <w:sz w:val="21"/>
                <w:szCs w:val="21"/>
                <w:lang w:val="en-US" w:eastAsia="zh-CN"/>
              </w:rPr>
              <w:t>9740.86</w:t>
            </w:r>
            <w:r>
              <w:rPr>
                <w:rFonts w:hint="eastAsia" w:ascii="宋体" w:hAnsi="宋体" w:cs="宋体"/>
                <w:color w:val="auto"/>
                <w:sz w:val="21"/>
                <w:szCs w:val="21"/>
                <w:lang w:val="en-US" w:eastAsia="zh-CN"/>
              </w:rPr>
              <w:t>m</w:t>
            </w:r>
            <w:r>
              <w:rPr>
                <w:rFonts w:hint="eastAsia" w:ascii="宋体" w:hAnsi="宋体" w:cs="宋体"/>
                <w:color w:val="auto"/>
                <w:sz w:val="21"/>
                <w:szCs w:val="21"/>
                <w:vertAlign w:val="superscript"/>
                <w:lang w:val="en-US" w:eastAsia="zh-CN"/>
              </w:rPr>
              <w:t>2</w:t>
            </w:r>
          </w:p>
        </w:tc>
      </w:tr>
      <w:tr>
        <w:trPr>
          <w:trHeight w:val="329" w:hRule="atLeast"/>
          <w:jc w:val="center"/>
        </w:trPr>
        <w:tc>
          <w:tcPr>
            <w:tcW w:w="57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eastAsia="宋体" w:cs="宋体"/>
                <w:color w:val="auto"/>
                <w:sz w:val="21"/>
                <w:szCs w:val="21"/>
                <w:lang w:val="en-US" w:eastAsia="zh-CN" w:bidi="ar"/>
              </w:rPr>
            </w:pPr>
            <w:r>
              <w:rPr>
                <w:rFonts w:hint="eastAsia" w:ascii="宋体" w:hAnsi="宋体" w:cs="宋体"/>
                <w:color w:val="auto"/>
                <w:sz w:val="21"/>
                <w:szCs w:val="21"/>
                <w:lang w:val="en-US" w:eastAsia="zh-CN" w:bidi="ar"/>
              </w:rPr>
              <w:t>7</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bidi="ar"/>
              </w:rPr>
            </w:pPr>
            <w:r>
              <w:rPr>
                <w:rFonts w:hint="eastAsia" w:ascii="宋体" w:hAnsi="宋体" w:cs="宋体"/>
                <w:color w:val="auto"/>
                <w:sz w:val="21"/>
                <w:szCs w:val="21"/>
                <w:lang w:val="en-US" w:eastAsia="zh-CN" w:bidi="ar"/>
              </w:rPr>
              <w:t>4#宿舍楼</w:t>
            </w:r>
          </w:p>
        </w:tc>
        <w:tc>
          <w:tcPr>
            <w:tcW w:w="1824"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框架-剪力墙结构</w:t>
            </w:r>
          </w:p>
        </w:tc>
        <w:tc>
          <w:tcPr>
            <w:tcW w:w="732"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12</w:t>
            </w:r>
          </w:p>
        </w:tc>
        <w:tc>
          <w:tcPr>
            <w:tcW w:w="1200"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42.45m</w:t>
            </w:r>
          </w:p>
        </w:tc>
        <w:tc>
          <w:tcPr>
            <w:tcW w:w="1236"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一级</w:t>
            </w:r>
          </w:p>
        </w:tc>
        <w:tc>
          <w:tcPr>
            <w:tcW w:w="130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right="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三级</w:t>
            </w:r>
          </w:p>
        </w:tc>
        <w:tc>
          <w:tcPr>
            <w:tcW w:w="1258" w:type="dxa"/>
            <w:shd w:val="clear" w:color="auto" w:fill="auto"/>
            <w:noWrap/>
            <w:vAlign w:val="center"/>
          </w:tcPr>
          <w:p>
            <w:pPr>
              <w:keepNext w:val="0"/>
              <w:keepLines w:val="0"/>
              <w:widowControl/>
              <w:suppressLineNumbers w:val="0"/>
              <w:shd w:val="clear"/>
              <w:kinsoku/>
              <w:wordWrap/>
              <w:bidi w:val="0"/>
              <w:snapToGrid w:val="0"/>
              <w:spacing w:before="0" w:beforeAutospacing="0" w:after="0" w:afterAutospacing="0" w:line="300" w:lineRule="auto"/>
              <w:ind w:left="0" w:leftChars="0" w:right="0" w:rightChars="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7413.63m</w:t>
            </w:r>
            <w:r>
              <w:rPr>
                <w:rFonts w:hint="eastAsia" w:ascii="宋体" w:hAnsi="宋体" w:cs="宋体"/>
                <w:color w:val="auto"/>
                <w:sz w:val="21"/>
                <w:szCs w:val="21"/>
                <w:vertAlign w:val="superscript"/>
                <w:lang w:val="en-US" w:eastAsia="zh-CN"/>
              </w:rPr>
              <w:t>2</w:t>
            </w:r>
          </w:p>
        </w:tc>
      </w:tr>
    </w:tbl>
    <w:p>
      <w:pPr>
        <w:pStyle w:val="4"/>
        <w:shd w:val="clear"/>
        <w:bidi w:val="0"/>
        <w:rPr>
          <w:rFonts w:hint="eastAsia"/>
        </w:rPr>
      </w:pPr>
      <w:bookmarkStart w:id="8" w:name="_Toc19952"/>
      <w:r>
        <w:rPr>
          <w:rFonts w:hint="eastAsia"/>
        </w:rPr>
        <w:t>第二节</w:t>
      </w:r>
      <w:bookmarkEnd w:id="7"/>
      <w:r>
        <w:rPr>
          <w:rFonts w:hint="eastAsia"/>
        </w:rPr>
        <w:t xml:space="preserve">  设计概况</w:t>
      </w:r>
      <w:bookmarkEnd w:id="8"/>
    </w:p>
    <w:p>
      <w:pPr>
        <w:pStyle w:val="86"/>
        <w:shd w:val="clear"/>
        <w:ind w:firstLine="458"/>
        <w:rPr>
          <w:rFonts w:hint="eastAsia" w:eastAsia="宋体"/>
          <w:b/>
          <w:bCs/>
          <w:lang w:eastAsia="zh-CN"/>
        </w:rPr>
      </w:pPr>
      <w:bookmarkStart w:id="9" w:name="_Toc107285994"/>
      <w:r>
        <w:rPr>
          <w:rFonts w:hint="eastAsia"/>
          <w:b/>
          <w:bCs/>
        </w:rPr>
        <w:t>一、设计依据</w:t>
      </w:r>
    </w:p>
    <w:tbl>
      <w:tblPr>
        <w:tblStyle w:val="5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70"/>
        <w:gridCol w:w="5353"/>
        <w:gridCol w:w="3180"/>
      </w:tblGrid>
      <w:tr>
        <w:trPr>
          <w:trHeight w:val="453" w:hRule="atLeast"/>
          <w:tblHeader/>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b/>
                <w:bCs/>
                <w:color w:val="auto"/>
                <w:sz w:val="21"/>
                <w:szCs w:val="21"/>
              </w:rPr>
            </w:pPr>
            <w:r>
              <w:rPr>
                <w:rFonts w:hint="eastAsia" w:ascii="宋体" w:hAnsi="宋体" w:eastAsia="宋体"/>
                <w:b/>
                <w:bCs/>
                <w:color w:val="auto"/>
                <w:sz w:val="21"/>
                <w:szCs w:val="21"/>
              </w:rPr>
              <w:t>序号</w:t>
            </w:r>
          </w:p>
        </w:tc>
        <w:tc>
          <w:tcPr>
            <w:tcW w:w="2816"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b/>
                <w:bCs/>
                <w:color w:val="auto"/>
                <w:sz w:val="21"/>
                <w:szCs w:val="21"/>
              </w:rPr>
            </w:pPr>
            <w:r>
              <w:rPr>
                <w:rFonts w:hint="eastAsia" w:ascii="宋体" w:hAnsi="宋体" w:eastAsia="宋体"/>
                <w:b/>
                <w:bCs/>
                <w:color w:val="auto"/>
                <w:sz w:val="21"/>
                <w:szCs w:val="21"/>
              </w:rPr>
              <w:t>名</w:t>
            </w:r>
            <w:r>
              <w:rPr>
                <w:rFonts w:hint="eastAsia" w:ascii="宋体" w:hAnsi="宋体" w:eastAsia="宋体"/>
                <w:b/>
                <w:bCs/>
                <w:color w:val="auto"/>
                <w:sz w:val="21"/>
                <w:szCs w:val="21"/>
                <w:lang w:val="en-US" w:eastAsia="zh-CN"/>
              </w:rPr>
              <w:t xml:space="preserve">  </w:t>
            </w:r>
            <w:r>
              <w:rPr>
                <w:rFonts w:hint="eastAsia" w:ascii="宋体" w:hAnsi="宋体" w:eastAsia="宋体"/>
                <w:b/>
                <w:bCs/>
                <w:color w:val="auto"/>
                <w:sz w:val="21"/>
                <w:szCs w:val="21"/>
              </w:rPr>
              <w:t>称</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b/>
                <w:bCs/>
                <w:color w:val="auto"/>
                <w:sz w:val="21"/>
                <w:szCs w:val="21"/>
                <w:lang w:eastAsia="zh-CN"/>
              </w:rPr>
            </w:pPr>
            <w:r>
              <w:rPr>
                <w:rFonts w:hint="eastAsia" w:ascii="宋体" w:hAnsi="宋体" w:eastAsia="宋体"/>
                <w:b/>
                <w:bCs/>
                <w:color w:val="auto"/>
                <w:sz w:val="21"/>
                <w:szCs w:val="21"/>
                <w:lang w:eastAsia="zh-CN"/>
              </w:rPr>
              <w:t>编号</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1</w:t>
            </w:r>
          </w:p>
        </w:tc>
        <w:tc>
          <w:tcPr>
            <w:tcW w:w="2816" w:type="pct"/>
            <w:shd w:val="clear" w:color="auto" w:fill="auto"/>
            <w:noWrap w:val="0"/>
            <w:vAlign w:val="center"/>
          </w:tcPr>
          <w:p>
            <w:pPr>
              <w:keepNext w:val="0"/>
              <w:keepLines w:val="0"/>
              <w:pageBreakBefore w:val="0"/>
              <w:numPr>
                <w:ilvl w:val="0"/>
                <w:numId w:val="0"/>
              </w:numPr>
              <w:suppressLineNumbers w:val="0"/>
              <w:shd w:val="clear"/>
              <w:kinsoku/>
              <w:wordWrap/>
              <w:overflowPunct/>
              <w:topLinePunct w:val="0"/>
              <w:autoSpaceDE/>
              <w:autoSpaceDN/>
              <w:bidi w:val="0"/>
              <w:adjustRightInd/>
              <w:spacing w:before="0" w:beforeAutospacing="0" w:after="0" w:afterAutospacing="0" w:line="240" w:lineRule="auto"/>
              <w:ind w:left="0" w:right="0"/>
              <w:jc w:val="both"/>
              <w:textAlignment w:val="auto"/>
              <w:rPr>
                <w:rFonts w:hint="eastAsia" w:ascii="宋体" w:hAnsi="宋体" w:eastAsia="宋体"/>
                <w:color w:val="auto"/>
                <w:sz w:val="21"/>
                <w:szCs w:val="21"/>
                <w:lang w:val="en-US" w:eastAsia="zh-CN"/>
              </w:rPr>
            </w:pPr>
            <w:r>
              <w:rPr>
                <w:rFonts w:hint="eastAsia" w:ascii="宋体" w:hAnsi="宋体" w:eastAsia="宋体" w:cs="宋体"/>
                <w:color w:val="000000"/>
                <w:sz w:val="21"/>
                <w:szCs w:val="21"/>
                <w:lang w:val="en-US"/>
              </w:rPr>
              <w:t>《建筑结构可靠性设计统一标准》</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val="en-US" w:eastAsia="zh-CN"/>
              </w:rPr>
            </w:pPr>
            <w:r>
              <w:rPr>
                <w:rFonts w:hint="eastAsia" w:ascii="宋体" w:hAnsi="宋体" w:eastAsia="宋体" w:cs="宋体"/>
                <w:color w:val="000000"/>
                <w:sz w:val="21"/>
                <w:szCs w:val="21"/>
                <w:lang w:val="en-US"/>
              </w:rPr>
              <w:t>GB50068-2018</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816" w:type="pct"/>
            <w:shd w:val="clear" w:color="auto" w:fill="auto"/>
            <w:noWrap w:val="0"/>
            <w:vAlign w:val="center"/>
          </w:tcPr>
          <w:p>
            <w:pPr>
              <w:keepNext w:val="0"/>
              <w:keepLines w:val="0"/>
              <w:pageBreakBefore w:val="0"/>
              <w:numPr>
                <w:ilvl w:val="0"/>
                <w:numId w:val="0"/>
              </w:numPr>
              <w:suppressLineNumbers w:val="0"/>
              <w:shd w:val="clear"/>
              <w:kinsoku/>
              <w:wordWrap/>
              <w:overflowPunct/>
              <w:topLinePunct w:val="0"/>
              <w:autoSpaceDE/>
              <w:autoSpaceDN/>
              <w:bidi w:val="0"/>
              <w:adjustRightInd/>
              <w:spacing w:before="0" w:beforeAutospacing="0" w:after="0" w:afterAutospacing="0" w:line="240" w:lineRule="auto"/>
              <w:ind w:left="0" w:right="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《建筑抗震设防分类标准》</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GB50223-2008</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2816" w:type="pct"/>
            <w:shd w:val="clear" w:color="auto" w:fill="auto"/>
            <w:noWrap w:val="0"/>
            <w:vAlign w:val="center"/>
          </w:tcPr>
          <w:p>
            <w:pPr>
              <w:keepNext w:val="0"/>
              <w:keepLines w:val="0"/>
              <w:pageBreakBefore w:val="0"/>
              <w:numPr>
                <w:ilvl w:val="0"/>
                <w:numId w:val="0"/>
              </w:numPr>
              <w:suppressLineNumbers w:val="0"/>
              <w:shd w:val="clear"/>
              <w:kinsoku/>
              <w:wordWrap/>
              <w:overflowPunct/>
              <w:topLinePunct w:val="0"/>
              <w:autoSpaceDE/>
              <w:autoSpaceDN/>
              <w:bidi w:val="0"/>
              <w:adjustRightInd/>
              <w:spacing w:before="0" w:beforeAutospacing="0" w:after="0" w:afterAutospacing="0" w:line="240" w:lineRule="auto"/>
              <w:ind w:left="0" w:right="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《建筑结构制图标准》</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GB/T50105-2010</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《建筑结构荷载规范》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GB50009-2012</w:t>
            </w:r>
          </w:p>
        </w:tc>
      </w:tr>
      <w:tr>
        <w:trPr>
          <w:trHeight w:val="442"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2816" w:type="pct"/>
            <w:shd w:val="clear" w:color="auto" w:fill="auto"/>
            <w:noWrap w:val="0"/>
            <w:vAlign w:val="center"/>
          </w:tcPr>
          <w:p>
            <w:pPr>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highlight w:val="none"/>
                <w:lang w:eastAsia="zh-CN"/>
              </w:rPr>
            </w:pPr>
            <w:r>
              <w:rPr>
                <w:rFonts w:hint="eastAsia" w:ascii="宋体" w:hAnsi="宋体" w:eastAsia="宋体" w:cs="宋体"/>
                <w:snapToGrid/>
                <w:color w:val="000000"/>
                <w:spacing w:val="0"/>
                <w:kern w:val="2"/>
                <w:sz w:val="21"/>
                <w:szCs w:val="21"/>
                <w:lang w:val="en-US" w:eastAsia="zh-CN" w:bidi="ar-SA"/>
              </w:rPr>
              <w:t>《混凝土结构设计规范》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宋体" w:hAnsi="宋体" w:eastAsia="宋体"/>
                <w:color w:val="auto"/>
                <w:sz w:val="21"/>
                <w:szCs w:val="21"/>
                <w:highlight w:val="none"/>
                <w:lang w:val="en-US" w:eastAsia="zh-CN"/>
              </w:rPr>
            </w:pPr>
            <w:r>
              <w:rPr>
                <w:rFonts w:hint="eastAsia" w:ascii="宋体" w:hAnsi="宋体" w:eastAsia="宋体" w:cs="宋体"/>
                <w:snapToGrid/>
                <w:color w:val="000000"/>
                <w:spacing w:val="0"/>
                <w:kern w:val="2"/>
                <w:sz w:val="21"/>
                <w:szCs w:val="21"/>
                <w:lang w:val="en-US" w:eastAsia="zh-CN" w:bidi="ar-SA"/>
              </w:rPr>
              <w:t>GB50010-2010（2015年版）</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《建筑抗震设计规范》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GB50011-2010（2016年版）</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《砌体结构设计规范》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GB50003-2011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《建筑地基基础设计规范》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GB50007-2011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《建筑桩基技术规范》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JGJ 94-2008</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《高层建筑混凝土结构技术规程》</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eastAsia="zh-CN"/>
              </w:rPr>
            </w:pPr>
            <w:r>
              <w:rPr>
                <w:rFonts w:hint="eastAsia" w:ascii="宋体" w:hAnsi="宋体" w:eastAsia="宋体" w:cs="宋体"/>
                <w:snapToGrid/>
                <w:color w:val="000000"/>
                <w:spacing w:val="0"/>
                <w:kern w:val="2"/>
                <w:sz w:val="21"/>
                <w:szCs w:val="21"/>
                <w:lang w:val="en-US" w:eastAsia="zh-CN" w:bidi="ar-SA"/>
              </w:rPr>
              <w:t>JGJ 3-2010</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《工业建筑防腐蚀设计规范》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olor w:val="auto"/>
                <w:sz w:val="21"/>
                <w:szCs w:val="21"/>
                <w:lang w:val="en-US" w:eastAsia="zh-CN"/>
              </w:rPr>
            </w:pPr>
            <w:r>
              <w:rPr>
                <w:rFonts w:hint="eastAsia" w:ascii="宋体" w:hAnsi="宋体" w:eastAsia="宋体" w:cs="宋体"/>
                <w:snapToGrid/>
                <w:color w:val="000000"/>
                <w:spacing w:val="0"/>
                <w:kern w:val="2"/>
                <w:sz w:val="21"/>
                <w:szCs w:val="21"/>
                <w:lang w:val="en-US" w:eastAsia="zh-CN" w:bidi="ar-SA"/>
              </w:rPr>
              <w:t>GB50046-2018</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2816" w:type="pct"/>
            <w:shd w:val="clear" w:color="auto" w:fill="auto"/>
            <w:noWrap w:val="0"/>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《预拌混凝土》</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GBT14902-2012</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《地下工程防水技术规范》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GB50108-2008</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《建筑设计防火规范》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GB50016－2014（2018年版）</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 xml:space="preserve">《建筑地基基础设计规范》 </w:t>
            </w:r>
            <w:r>
              <w:rPr>
                <w:rFonts w:hint="eastAsia" w:ascii="宋体" w:hAnsi="宋体" w:cs="宋体"/>
                <w:snapToGrid/>
                <w:color w:val="000000"/>
                <w:spacing w:val="0"/>
                <w:kern w:val="2"/>
                <w:sz w:val="21"/>
                <w:szCs w:val="21"/>
                <w:lang w:val="en-US" w:eastAsia="zh-CN" w:bidi="ar-SA"/>
              </w:rPr>
              <w:t>（</w:t>
            </w:r>
            <w:r>
              <w:rPr>
                <w:rFonts w:hint="eastAsia" w:ascii="宋体" w:hAnsi="宋体" w:eastAsia="宋体" w:cs="宋体"/>
                <w:snapToGrid/>
                <w:color w:val="000000"/>
                <w:spacing w:val="0"/>
                <w:kern w:val="2"/>
                <w:sz w:val="21"/>
                <w:szCs w:val="21"/>
                <w:lang w:val="en-US" w:eastAsia="zh-CN" w:bidi="ar-SA"/>
              </w:rPr>
              <w:t>浙江省标准</w:t>
            </w:r>
            <w:r>
              <w:rPr>
                <w:rFonts w:hint="eastAsia" w:ascii="宋体" w:hAnsi="宋体" w:cs="宋体"/>
                <w:snapToGrid/>
                <w:color w:val="000000"/>
                <w:spacing w:val="0"/>
                <w:kern w:val="2"/>
                <w:sz w:val="21"/>
                <w:szCs w:val="21"/>
                <w:lang w:val="en-US" w:eastAsia="zh-CN" w:bidi="ar-SA"/>
              </w:rPr>
              <w:t>）</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DB 33T 1136-2017</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16</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《宁波市建筑桩基设计与施工细则》</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eastAsia" w:ascii="宋体" w:hAnsi="宋体" w:eastAsia="宋体" w:cs="宋体"/>
                <w:snapToGrid/>
                <w:color w:val="000000"/>
                <w:spacing w:val="0"/>
                <w:kern w:val="2"/>
                <w:sz w:val="21"/>
                <w:szCs w:val="21"/>
                <w:lang w:val="en-US" w:eastAsia="zh-CN" w:bidi="ar-SA"/>
              </w:rPr>
              <w:t>2017甬SS-01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17</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《混凝土多孔砖建筑技术规程》</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DB33/1014-2003</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18</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《钢筋机械连接技术规程》</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JGJ 107-2016</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19</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《建筑基桩检测技术规范》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JGJ 106-2014</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《宁波市住宅建筑结构设计细则》</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甬DX/JS 002-2020</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《建筑工程抗浮技术标准》</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JGJ476-2019</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《工程结构通用规范》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GB55001-2021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《建筑与市政工程抗震通用规范》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GB55002-2021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24</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《砌体结构通用规范》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eastAsia" w:ascii="宋体" w:hAnsi="宋体" w:eastAsia="宋体" w:cs="Times New Roman"/>
                <w:b w:val="0"/>
                <w:bCs/>
                <w:sz w:val="21"/>
                <w:szCs w:val="21"/>
              </w:rPr>
            </w:pPr>
            <w:r>
              <w:rPr>
                <w:rFonts w:hint="default" w:ascii="宋体" w:hAnsi="宋体" w:eastAsia="宋体" w:cs="宋体"/>
                <w:snapToGrid/>
                <w:color w:val="000000"/>
                <w:spacing w:val="0"/>
                <w:kern w:val="2"/>
                <w:sz w:val="21"/>
                <w:szCs w:val="21"/>
                <w:lang w:val="en-US" w:eastAsia="zh-CN" w:bidi="ar-SA"/>
              </w:rPr>
              <w:t>GB55007-2021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25</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宋体" w:hAnsi="宋体" w:eastAsia="宋体" w:cs="宋体"/>
                <w:snapToGrid/>
                <w:color w:val="000000"/>
                <w:spacing w:val="0"/>
                <w:kern w:val="2"/>
                <w:sz w:val="21"/>
                <w:szCs w:val="21"/>
                <w:lang w:val="en-US" w:eastAsia="zh-CN" w:bidi="ar-SA"/>
              </w:rPr>
            </w:pPr>
            <w:r>
              <w:rPr>
                <w:rFonts w:hint="default" w:ascii="宋体" w:hAnsi="宋体" w:eastAsia="宋体" w:cs="宋体"/>
                <w:snapToGrid/>
                <w:color w:val="000000"/>
                <w:spacing w:val="0"/>
                <w:kern w:val="2"/>
                <w:sz w:val="21"/>
                <w:szCs w:val="21"/>
                <w:lang w:val="en-US" w:eastAsia="zh-CN" w:bidi="ar-SA"/>
              </w:rPr>
              <w:t>《混凝土结构通用规范》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宋体" w:hAnsi="宋体" w:eastAsia="宋体" w:cs="宋体"/>
                <w:snapToGrid/>
                <w:color w:val="000000"/>
                <w:spacing w:val="0"/>
                <w:kern w:val="2"/>
                <w:sz w:val="21"/>
                <w:szCs w:val="21"/>
                <w:lang w:val="en-US" w:eastAsia="zh-CN" w:bidi="ar-SA"/>
              </w:rPr>
            </w:pPr>
            <w:r>
              <w:rPr>
                <w:rFonts w:hint="default" w:ascii="宋体" w:hAnsi="宋体" w:eastAsia="宋体" w:cs="宋体"/>
                <w:snapToGrid/>
                <w:color w:val="000000"/>
                <w:spacing w:val="0"/>
                <w:kern w:val="2"/>
                <w:sz w:val="21"/>
                <w:szCs w:val="21"/>
                <w:lang w:val="en-US" w:eastAsia="zh-CN" w:bidi="ar-SA"/>
              </w:rPr>
              <w:t>GB55008-2021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26</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宋体" w:hAnsi="宋体" w:eastAsia="宋体" w:cs="宋体"/>
                <w:snapToGrid/>
                <w:color w:val="000000"/>
                <w:spacing w:val="0"/>
                <w:kern w:val="2"/>
                <w:sz w:val="21"/>
                <w:szCs w:val="21"/>
                <w:lang w:val="en-US" w:eastAsia="zh-CN" w:bidi="ar-SA"/>
              </w:rPr>
            </w:pPr>
            <w:r>
              <w:rPr>
                <w:rFonts w:hint="default" w:ascii="宋体" w:hAnsi="宋体" w:eastAsia="宋体" w:cs="宋体"/>
                <w:snapToGrid/>
                <w:color w:val="000000"/>
                <w:spacing w:val="0"/>
                <w:kern w:val="2"/>
                <w:sz w:val="21"/>
                <w:szCs w:val="21"/>
                <w:lang w:val="en-US" w:eastAsia="zh-CN" w:bidi="ar-SA"/>
              </w:rPr>
              <w:t>《建筑节能与可再生能源利用通用规范》</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宋体" w:hAnsi="宋体" w:eastAsia="宋体" w:cs="宋体"/>
                <w:snapToGrid/>
                <w:color w:val="000000"/>
                <w:spacing w:val="0"/>
                <w:kern w:val="2"/>
                <w:sz w:val="21"/>
                <w:szCs w:val="21"/>
                <w:lang w:val="en-US" w:eastAsia="zh-CN" w:bidi="ar-SA"/>
              </w:rPr>
            </w:pPr>
            <w:r>
              <w:rPr>
                <w:rFonts w:hint="default" w:ascii="宋体" w:hAnsi="宋体" w:eastAsia="宋体" w:cs="宋体"/>
                <w:snapToGrid/>
                <w:color w:val="000000"/>
                <w:spacing w:val="0"/>
                <w:kern w:val="2"/>
                <w:sz w:val="21"/>
                <w:szCs w:val="21"/>
                <w:lang w:val="en-US" w:eastAsia="zh-CN" w:bidi="ar-SA"/>
              </w:rPr>
              <w:t>GB55015-2021</w:t>
            </w:r>
          </w:p>
        </w:tc>
      </w:tr>
      <w:tr>
        <w:trPr>
          <w:trHeight w:val="397" w:hRule="exact"/>
          <w:jc w:val="center"/>
        </w:trPr>
        <w:tc>
          <w:tcPr>
            <w:tcW w:w="510"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27</w:t>
            </w:r>
          </w:p>
        </w:tc>
        <w:tc>
          <w:tcPr>
            <w:tcW w:w="2816"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宋体" w:hAnsi="宋体" w:eastAsia="宋体" w:cs="宋体"/>
                <w:snapToGrid/>
                <w:color w:val="000000"/>
                <w:spacing w:val="0"/>
                <w:kern w:val="2"/>
                <w:sz w:val="21"/>
                <w:szCs w:val="21"/>
                <w:lang w:val="en-US" w:eastAsia="zh-CN" w:bidi="ar-SA"/>
              </w:rPr>
            </w:pPr>
            <w:r>
              <w:rPr>
                <w:rFonts w:hint="eastAsia" w:ascii="宋体" w:hAnsi="宋体" w:cs="宋体"/>
                <w:snapToGrid/>
                <w:color w:val="000000"/>
                <w:spacing w:val="0"/>
                <w:kern w:val="2"/>
                <w:sz w:val="21"/>
                <w:szCs w:val="21"/>
                <w:lang w:val="en-US" w:eastAsia="zh-CN" w:bidi="ar-SA"/>
              </w:rPr>
              <w:t>…………</w:t>
            </w:r>
          </w:p>
        </w:tc>
        <w:tc>
          <w:tcPr>
            <w:tcW w:w="167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宋体" w:hAnsi="宋体" w:eastAsia="宋体" w:cs="宋体"/>
                <w:snapToGrid/>
                <w:color w:val="000000"/>
                <w:spacing w:val="0"/>
                <w:kern w:val="2"/>
                <w:sz w:val="21"/>
                <w:szCs w:val="21"/>
                <w:lang w:val="en-US" w:eastAsia="zh-CN" w:bidi="ar-SA"/>
              </w:rPr>
            </w:pPr>
          </w:p>
        </w:tc>
      </w:tr>
    </w:tbl>
    <w:p>
      <w:pPr>
        <w:pStyle w:val="86"/>
        <w:shd w:val="clear"/>
        <w:ind w:firstLine="458"/>
        <w:rPr>
          <w:b/>
          <w:bCs/>
        </w:rPr>
      </w:pPr>
      <w:r>
        <w:rPr>
          <w:rFonts w:hint="eastAsia" w:ascii="宋体" w:hAnsi="宋体" w:eastAsia="宋体" w:cs="宋体"/>
          <w:snapToGrid/>
          <w:color w:val="000000"/>
          <w:spacing w:val="0"/>
          <w:kern w:val="2"/>
          <w:sz w:val="24"/>
          <w:szCs w:val="28"/>
          <w:lang w:val="en-US" w:eastAsia="zh-CN" w:bidi="ar-SA"/>
        </w:rPr>
        <w:t xml:space="preserve"> </w:t>
      </w:r>
      <w:r>
        <w:rPr>
          <w:rFonts w:hint="eastAsia"/>
          <w:b/>
          <w:bCs/>
        </w:rPr>
        <w:t>二、设计概况</w:t>
      </w:r>
    </w:p>
    <w:p>
      <w:pPr>
        <w:pStyle w:val="7"/>
        <w:shd w:val="clear"/>
        <w:bidi w:val="0"/>
      </w:pPr>
      <w:r>
        <w:rPr>
          <w:rFonts w:hint="eastAsia"/>
          <w:lang w:val="en-US" w:eastAsia="zh-CN"/>
        </w:rPr>
        <w:t>1、</w:t>
      </w:r>
      <w:r>
        <w:t>建筑设计概况</w:t>
      </w:r>
      <w:r>
        <w:rPr>
          <w:rFonts w:hint="eastAsia"/>
        </w:rPr>
        <w:t>表</w:t>
      </w:r>
    </w:p>
    <w:tbl>
      <w:tblPr>
        <w:tblStyle w:val="54"/>
        <w:tblW w:w="974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285"/>
        <w:gridCol w:w="1547"/>
        <w:gridCol w:w="3630"/>
        <w:gridCol w:w="3285"/>
      </w:tblGrid>
      <w:tr>
        <w:trPr>
          <w:cantSplit/>
          <w:trHeight w:val="396" w:hRule="atLeast"/>
          <w:tblHeader/>
          <w:jc w:val="center"/>
        </w:trPr>
        <w:tc>
          <w:tcPr>
            <w:tcW w:w="1285" w:type="dxa"/>
            <w:tcBorders>
              <w:top w:val="single" w:color="auto" w:sz="12" w:space="0"/>
              <w:bottom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b/>
                <w:bCs/>
                <w:spacing w:val="6"/>
                <w:sz w:val="21"/>
                <w:szCs w:val="21"/>
              </w:rPr>
            </w:pPr>
            <w:r>
              <w:rPr>
                <w:rFonts w:hint="eastAsia"/>
                <w:b/>
                <w:bCs/>
                <w:spacing w:val="6"/>
                <w:sz w:val="21"/>
                <w:szCs w:val="21"/>
              </w:rPr>
              <w:t>项 目</w:t>
            </w:r>
          </w:p>
        </w:tc>
        <w:tc>
          <w:tcPr>
            <w:tcW w:w="8462" w:type="dxa"/>
            <w:gridSpan w:val="3"/>
            <w:tcBorders>
              <w:top w:val="single" w:color="auto" w:sz="12" w:space="0"/>
              <w:bottom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b/>
                <w:bCs/>
                <w:spacing w:val="6"/>
                <w:sz w:val="21"/>
                <w:szCs w:val="21"/>
              </w:rPr>
            </w:pPr>
            <w:r>
              <w:rPr>
                <w:rFonts w:hint="eastAsia"/>
                <w:b/>
                <w:bCs/>
                <w:spacing w:val="6"/>
                <w:sz w:val="21"/>
                <w:szCs w:val="21"/>
              </w:rPr>
              <w:t>内    容</w:t>
            </w:r>
          </w:p>
        </w:tc>
      </w:tr>
      <w:tr>
        <w:trPr>
          <w:cantSplit/>
          <w:trHeight w:val="0" w:hRule="atLeast"/>
          <w:jc w:val="center"/>
        </w:trPr>
        <w:tc>
          <w:tcPr>
            <w:tcW w:w="1285"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工程名称</w:t>
            </w:r>
          </w:p>
        </w:tc>
        <w:tc>
          <w:tcPr>
            <w:tcW w:w="8462" w:type="dxa"/>
            <w:gridSpan w:val="3"/>
            <w:tcBorders>
              <w:top w:val="single" w:color="auto" w:sz="6" w:space="0"/>
            </w:tcBorders>
            <w:shd w:val="clear" w:color="auto" w:fill="auto"/>
            <w:vAlign w:val="center"/>
          </w:tcPr>
          <w:p>
            <w:pPr>
              <w:keepNext w:val="0"/>
              <w:keepLines w:val="0"/>
              <w:suppressLineNumbers w:val="0"/>
              <w:shd w:val="clear"/>
              <w:spacing w:before="0" w:beforeAutospacing="0" w:after="0" w:afterAutospacing="0" w:line="240" w:lineRule="auto"/>
              <w:ind w:left="0" w:leftChars="0" w:right="0" w:rightChars="0"/>
              <w:jc w:val="center"/>
              <w:outlineLvl w:val="0"/>
              <w:rPr>
                <w:rFonts w:hint="eastAsia" w:ascii="宋体" w:hAnsi="宋体" w:eastAsia="宋体" w:cs="Times New Roman"/>
                <w:color w:val="000000"/>
                <w:kern w:val="2"/>
                <w:sz w:val="21"/>
                <w:szCs w:val="21"/>
                <w:lang w:val="en-US" w:eastAsia="zh-CN" w:bidi="ar-SA"/>
              </w:rPr>
            </w:pPr>
            <w:r>
              <w:rPr>
                <w:rFonts w:hint="eastAsia"/>
                <w:color w:val="auto"/>
                <w:sz w:val="21"/>
                <w:szCs w:val="21"/>
                <w:u w:val="none"/>
                <w:lang w:val="en-US" w:eastAsia="zh-CN"/>
              </w:rPr>
              <w:t>年产1500万平方米特种薄膜、生物医疗薄膜及功能图层研发生产项目</w:t>
            </w:r>
          </w:p>
        </w:tc>
      </w:tr>
      <w:tr>
        <w:trPr>
          <w:cantSplit/>
          <w:trHeight w:val="0" w:hRule="atLeast"/>
          <w:jc w:val="center"/>
        </w:trPr>
        <w:tc>
          <w:tcPr>
            <w:tcW w:w="1285"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地理位置</w:t>
            </w:r>
          </w:p>
        </w:tc>
        <w:tc>
          <w:tcPr>
            <w:tcW w:w="8462" w:type="dxa"/>
            <w:gridSpan w:val="3"/>
            <w:tcBorders>
              <w:top w:val="single" w:color="auto" w:sz="6" w:space="0"/>
            </w:tcBorders>
            <w:shd w:val="clear" w:color="auto" w:fill="auto"/>
            <w:vAlign w:val="center"/>
          </w:tcPr>
          <w:p>
            <w:pPr>
              <w:pStyle w:val="22"/>
              <w:keepNext w:val="0"/>
              <w:keepLines w:val="0"/>
              <w:suppressLineNumbers w:val="0"/>
              <w:shd w:val="clear"/>
              <w:spacing w:before="0" w:beforeAutospacing="0" w:after="0" w:afterAutospacing="0" w:line="240" w:lineRule="auto"/>
              <w:ind w:left="0" w:leftChars="0" w:right="0" w:rightChars="0"/>
              <w:jc w:val="center"/>
              <w:rPr>
                <w:rFonts w:hint="default"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宁波市江北区</w:t>
            </w:r>
          </w:p>
        </w:tc>
      </w:tr>
      <w:tr>
        <w:trPr>
          <w:cantSplit/>
          <w:trHeight w:val="0" w:hRule="atLeast"/>
          <w:jc w:val="center"/>
        </w:trPr>
        <w:tc>
          <w:tcPr>
            <w:tcW w:w="1285"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建筑</w:t>
            </w:r>
            <w:r>
              <w:rPr>
                <w:rStyle w:val="244"/>
                <w:spacing w:val="6"/>
                <w:sz w:val="21"/>
                <w:szCs w:val="21"/>
              </w:rPr>
              <w:t>功能</w:t>
            </w:r>
          </w:p>
        </w:tc>
        <w:tc>
          <w:tcPr>
            <w:tcW w:w="8462" w:type="dxa"/>
            <w:gridSpan w:val="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default" w:eastAsia="宋体"/>
                <w:spacing w:val="6"/>
                <w:sz w:val="21"/>
                <w:szCs w:val="21"/>
                <w:lang w:val="en-US" w:eastAsia="zh-CN"/>
              </w:rPr>
            </w:pPr>
            <w:r>
              <w:rPr>
                <w:rStyle w:val="244"/>
                <w:rFonts w:hint="eastAsia"/>
                <w:spacing w:val="6"/>
                <w:sz w:val="21"/>
                <w:szCs w:val="21"/>
                <w:lang w:val="en-US" w:eastAsia="zh-CN"/>
              </w:rPr>
              <w:t>车间</w:t>
            </w:r>
          </w:p>
        </w:tc>
      </w:tr>
      <w:tr>
        <w:trPr>
          <w:cantSplit/>
          <w:trHeight w:val="0" w:hRule="atLeast"/>
          <w:jc w:val="center"/>
        </w:trPr>
        <w:tc>
          <w:tcPr>
            <w:tcW w:w="1285"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spacing w:val="6"/>
                <w:sz w:val="21"/>
                <w:szCs w:val="21"/>
              </w:rPr>
              <w:t>用地面积</w:t>
            </w:r>
          </w:p>
        </w:tc>
        <w:tc>
          <w:tcPr>
            <w:tcW w:w="8462" w:type="dxa"/>
            <w:gridSpan w:val="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default" w:eastAsia="宋体"/>
                <w:spacing w:val="6"/>
                <w:sz w:val="21"/>
                <w:szCs w:val="21"/>
                <w:lang w:val="en-US" w:eastAsia="zh-CN"/>
              </w:rPr>
            </w:pPr>
            <w:r>
              <w:rPr>
                <w:rStyle w:val="244"/>
                <w:rFonts w:hint="eastAsia"/>
                <w:spacing w:val="6"/>
                <w:sz w:val="21"/>
                <w:szCs w:val="21"/>
                <w:u w:val="single"/>
                <w:lang w:val="en-US" w:eastAsia="zh-CN"/>
              </w:rPr>
              <w:t xml:space="preserve"> 16066 </w:t>
            </w:r>
            <w:r>
              <w:rPr>
                <w:rStyle w:val="244"/>
                <w:rFonts w:hint="eastAsia"/>
                <w:spacing w:val="6"/>
                <w:sz w:val="21"/>
                <w:szCs w:val="21"/>
              </w:rPr>
              <w:t>m</w:t>
            </w:r>
            <w:r>
              <w:rPr>
                <w:rStyle w:val="244"/>
                <w:rFonts w:hint="eastAsia"/>
                <w:spacing w:val="6"/>
                <w:sz w:val="21"/>
                <w:szCs w:val="21"/>
                <w:vertAlign w:val="superscript"/>
              </w:rPr>
              <w:t>2</w:t>
            </w:r>
          </w:p>
        </w:tc>
      </w:tr>
      <w:tr>
        <w:trPr>
          <w:cantSplit/>
          <w:trHeight w:val="0" w:hRule="atLeast"/>
          <w:jc w:val="center"/>
        </w:trPr>
        <w:tc>
          <w:tcPr>
            <w:tcW w:w="1285" w:type="dxa"/>
            <w:vMerge w:val="restart"/>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建筑面积</w:t>
            </w:r>
          </w:p>
        </w:tc>
        <w:tc>
          <w:tcPr>
            <w:tcW w:w="1547" w:type="dxa"/>
            <w:vMerge w:val="restart"/>
            <w:tcBorders>
              <w:top w:val="single" w:color="auto" w:sz="6"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u w:val="single"/>
                <w:lang w:val="en-US" w:eastAsia="zh-CN"/>
              </w:rPr>
              <w:t xml:space="preserve"> 54826.63 </w:t>
            </w:r>
            <w:r>
              <w:rPr>
                <w:rStyle w:val="244"/>
                <w:rFonts w:hint="eastAsia"/>
                <w:spacing w:val="6"/>
                <w:sz w:val="21"/>
                <w:szCs w:val="21"/>
              </w:rPr>
              <w:t>m</w:t>
            </w:r>
            <w:r>
              <w:rPr>
                <w:rStyle w:val="244"/>
                <w:rFonts w:hint="eastAsia"/>
                <w:spacing w:val="6"/>
                <w:sz w:val="21"/>
                <w:szCs w:val="21"/>
                <w:vertAlign w:val="superscript"/>
              </w:rPr>
              <w:t>2</w:t>
            </w:r>
          </w:p>
        </w:tc>
        <w:tc>
          <w:tcPr>
            <w:tcW w:w="3630" w:type="dxa"/>
            <w:tcBorders>
              <w:top w:val="single" w:color="auto" w:sz="6" w:space="0"/>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地上</w:t>
            </w:r>
            <w:r>
              <w:rPr>
                <w:rStyle w:val="244"/>
                <w:spacing w:val="6"/>
                <w:sz w:val="21"/>
                <w:szCs w:val="21"/>
              </w:rPr>
              <w:t>部分</w:t>
            </w:r>
          </w:p>
        </w:tc>
        <w:tc>
          <w:tcPr>
            <w:tcW w:w="3285" w:type="dxa"/>
            <w:tcBorders>
              <w:top w:val="single" w:color="auto" w:sz="6" w:space="0"/>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lang w:val="en-US" w:eastAsia="zh-CN"/>
              </w:rPr>
            </w:pPr>
            <w:r>
              <w:rPr>
                <w:rStyle w:val="244"/>
                <w:rFonts w:hint="eastAsia"/>
                <w:spacing w:val="6"/>
                <w:sz w:val="21"/>
                <w:szCs w:val="21"/>
                <w:u w:val="single"/>
                <w:lang w:val="en-US" w:eastAsia="zh-CN"/>
              </w:rPr>
              <w:t xml:space="preserve"> 45000.04 </w:t>
            </w:r>
            <w:r>
              <w:rPr>
                <w:rStyle w:val="244"/>
                <w:rFonts w:hint="eastAsia"/>
                <w:spacing w:val="6"/>
                <w:sz w:val="21"/>
                <w:szCs w:val="21"/>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p>
        </w:tc>
        <w:tc>
          <w:tcPr>
            <w:tcW w:w="1547" w:type="dxa"/>
            <w:vMerge w:val="continue"/>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p>
        </w:tc>
        <w:tc>
          <w:tcPr>
            <w:tcW w:w="3630" w:type="dxa"/>
            <w:tcBorders>
              <w:top w:val="single" w:color="auto" w:sz="6" w:space="0"/>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地下</w:t>
            </w:r>
            <w:r>
              <w:rPr>
                <w:rStyle w:val="244"/>
                <w:spacing w:val="6"/>
                <w:sz w:val="21"/>
                <w:szCs w:val="21"/>
              </w:rPr>
              <w:t>部分</w:t>
            </w:r>
          </w:p>
        </w:tc>
        <w:tc>
          <w:tcPr>
            <w:tcW w:w="3285" w:type="dxa"/>
            <w:tcBorders>
              <w:top w:val="single" w:color="auto" w:sz="6" w:space="0"/>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lang w:val="en-US" w:eastAsia="zh-CN"/>
              </w:rPr>
            </w:pPr>
            <w:r>
              <w:rPr>
                <w:rStyle w:val="244"/>
                <w:rFonts w:hint="eastAsia"/>
                <w:spacing w:val="6"/>
                <w:sz w:val="21"/>
                <w:szCs w:val="21"/>
                <w:u w:val="single"/>
                <w:lang w:val="en-US" w:eastAsia="zh-CN"/>
              </w:rPr>
              <w:t xml:space="preserve"> 9826.59 </w:t>
            </w:r>
            <w:r>
              <w:rPr>
                <w:rStyle w:val="244"/>
                <w:rFonts w:hint="eastAsia"/>
                <w:spacing w:val="6"/>
                <w:sz w:val="21"/>
                <w:szCs w:val="21"/>
              </w:rPr>
              <w:t>㎡</w:t>
            </w:r>
          </w:p>
        </w:tc>
      </w:tr>
      <w:tr>
        <w:trPr>
          <w:cantSplit/>
          <w:trHeight w:val="0" w:hRule="atLeast"/>
          <w:jc w:val="center"/>
        </w:trPr>
        <w:tc>
          <w:tcPr>
            <w:tcW w:w="1285"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建筑</w:t>
            </w:r>
            <w:r>
              <w:rPr>
                <w:rStyle w:val="244"/>
                <w:spacing w:val="6"/>
                <w:sz w:val="21"/>
                <w:szCs w:val="21"/>
              </w:rPr>
              <w:t>场地类别</w:t>
            </w:r>
          </w:p>
        </w:tc>
        <w:tc>
          <w:tcPr>
            <w:tcW w:w="8462" w:type="dxa"/>
            <w:gridSpan w:val="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Fonts w:hint="eastAsia" w:ascii="宋体" w:hAnsi="宋体" w:cs="宋体"/>
                <w:color w:val="auto"/>
                <w:sz w:val="21"/>
                <w:szCs w:val="21"/>
              </w:rPr>
              <w:t>Ⅲ</w:t>
            </w:r>
            <w:r>
              <w:rPr>
                <w:rStyle w:val="244"/>
                <w:rFonts w:hint="eastAsia"/>
                <w:color w:val="auto"/>
                <w:spacing w:val="6"/>
                <w:sz w:val="21"/>
                <w:szCs w:val="21"/>
              </w:rPr>
              <w:t>类</w:t>
            </w:r>
          </w:p>
        </w:tc>
      </w:tr>
      <w:tr>
        <w:trPr>
          <w:cantSplit/>
          <w:trHeight w:val="0" w:hRule="atLeast"/>
          <w:jc w:val="center"/>
        </w:trPr>
        <w:tc>
          <w:tcPr>
            <w:tcW w:w="1285"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设计使用年限</w:t>
            </w:r>
          </w:p>
        </w:tc>
        <w:tc>
          <w:tcPr>
            <w:tcW w:w="8462" w:type="dxa"/>
            <w:gridSpan w:val="3"/>
            <w:tcBorders>
              <w:top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r>
              <w:rPr>
                <w:rStyle w:val="244"/>
                <w:rFonts w:hint="eastAsia"/>
                <w:spacing w:val="6"/>
                <w:sz w:val="21"/>
                <w:szCs w:val="21"/>
              </w:rPr>
              <w:t>建筑设计使用年限50年</w:t>
            </w:r>
          </w:p>
        </w:tc>
      </w:tr>
      <w:tr>
        <w:trPr>
          <w:cantSplit/>
          <w:trHeight w:val="0" w:hRule="atLeast"/>
          <w:jc w:val="center"/>
        </w:trPr>
        <w:tc>
          <w:tcPr>
            <w:tcW w:w="1285"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建筑耐火等级</w:t>
            </w:r>
          </w:p>
        </w:tc>
        <w:tc>
          <w:tcPr>
            <w:tcW w:w="8462" w:type="dxa"/>
            <w:gridSpan w:val="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Fonts w:hint="eastAsia"/>
                <w:color w:val="auto"/>
                <w:sz w:val="21"/>
                <w:szCs w:val="21"/>
                <w:lang w:val="en-US"/>
              </w:rPr>
              <w:t>地下一级、地上</w:t>
            </w:r>
            <w:r>
              <w:rPr>
                <w:rFonts w:hint="eastAsia"/>
                <w:color w:val="auto"/>
                <w:sz w:val="21"/>
                <w:szCs w:val="21"/>
                <w:lang w:val="en-US" w:eastAsia="zh-CN"/>
              </w:rPr>
              <w:t>一</w:t>
            </w:r>
            <w:r>
              <w:rPr>
                <w:rFonts w:hint="eastAsia"/>
                <w:color w:val="auto"/>
                <w:sz w:val="21"/>
                <w:szCs w:val="21"/>
                <w:lang w:val="en-US"/>
              </w:rPr>
              <w:t>级</w:t>
            </w:r>
          </w:p>
        </w:tc>
      </w:tr>
      <w:tr>
        <w:trPr>
          <w:cantSplit/>
          <w:trHeight w:val="0" w:hRule="atLeast"/>
          <w:jc w:val="center"/>
        </w:trPr>
        <w:tc>
          <w:tcPr>
            <w:tcW w:w="1285"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lang w:eastAsia="zh-CN"/>
              </w:rPr>
            </w:pPr>
            <w:r>
              <w:rPr>
                <w:rFonts w:hint="eastAsia"/>
                <w:spacing w:val="6"/>
                <w:sz w:val="21"/>
                <w:szCs w:val="21"/>
                <w:lang w:eastAsia="zh-CN"/>
              </w:rPr>
              <w:t>建筑</w:t>
            </w:r>
          </w:p>
          <w:p>
            <w:pPr>
              <w:keepNext w:val="0"/>
              <w:keepLines w:val="0"/>
              <w:suppressLineNumbers w:val="0"/>
              <w:shd w:val="clear"/>
              <w:adjustRightInd w:val="0"/>
              <w:snapToGrid w:val="0"/>
              <w:spacing w:before="0" w:beforeAutospacing="0" w:after="0" w:afterAutospacing="0" w:line="240" w:lineRule="auto"/>
              <w:ind w:left="0" w:right="0"/>
              <w:jc w:val="center"/>
              <w:rPr>
                <w:rFonts w:hint="eastAsia" w:eastAsia="宋体"/>
                <w:spacing w:val="6"/>
                <w:sz w:val="21"/>
                <w:szCs w:val="21"/>
                <w:lang w:eastAsia="zh-CN"/>
              </w:rPr>
            </w:pPr>
            <w:r>
              <w:rPr>
                <w:rFonts w:hint="eastAsia"/>
                <w:spacing w:val="6"/>
                <w:sz w:val="21"/>
                <w:szCs w:val="21"/>
                <w:lang w:eastAsia="zh-CN"/>
              </w:rPr>
              <w:t>防水</w:t>
            </w:r>
          </w:p>
        </w:tc>
        <w:tc>
          <w:tcPr>
            <w:tcW w:w="8462" w:type="dxa"/>
            <w:gridSpan w:val="3"/>
            <w:shd w:val="clear" w:color="auto" w:fill="auto"/>
            <w:vAlign w:val="center"/>
          </w:tcPr>
          <w:p>
            <w:pPr>
              <w:pStyle w:val="284"/>
              <w:keepNext w:val="0"/>
              <w:keepLines w:val="0"/>
              <w:pageBreakBefore w:val="0"/>
              <w:widowControl w:val="0"/>
              <w:suppressLineNumbers w:val="0"/>
              <w:shd w:val="clear"/>
              <w:tabs>
                <w:tab w:val="left" w:pos="498"/>
              </w:tabs>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default" w:ascii="宋体" w:hAnsi="宋体" w:eastAsia="宋体" w:cs="宋体"/>
                <w:color w:val="auto"/>
                <w:kern w:val="2"/>
                <w:sz w:val="21"/>
                <w:szCs w:val="21"/>
                <w:lang w:val="en-US" w:eastAsia="zh-CN" w:bidi="zh-TW"/>
              </w:rPr>
            </w:pPr>
            <w:r>
              <w:rPr>
                <w:rFonts w:hint="eastAsia" w:ascii="宋体" w:hAnsi="宋体" w:eastAsia="宋体" w:cs="宋体"/>
                <w:color w:val="auto"/>
                <w:sz w:val="21"/>
                <w:szCs w:val="21"/>
                <w:lang w:val="en-US" w:eastAsia="zh-CN" w:bidi="ar-SA"/>
              </w:rPr>
              <w:t>地上建筑屋面防水等级为I级。</w:t>
            </w:r>
            <w:r>
              <w:rPr>
                <w:rFonts w:hint="eastAsia" w:eastAsia="宋体" w:cs="宋体"/>
                <w:color w:val="auto"/>
                <w:sz w:val="21"/>
                <w:szCs w:val="21"/>
                <w:lang w:val="en-US" w:eastAsia="zh-CN" w:bidi="ar-SA"/>
              </w:rPr>
              <w:t>地下室</w:t>
            </w:r>
            <w:r>
              <w:rPr>
                <w:rFonts w:hint="eastAsia" w:ascii="宋体" w:hAnsi="宋体" w:eastAsia="宋体" w:cs="宋体"/>
                <w:color w:val="auto"/>
                <w:sz w:val="21"/>
                <w:szCs w:val="21"/>
                <w:lang w:val="en-US" w:eastAsia="zh-CN" w:bidi="ar-SA"/>
              </w:rPr>
              <w:t>防水砼的抗渗等级为P</w:t>
            </w:r>
            <w:r>
              <w:rPr>
                <w:rFonts w:hint="eastAsia" w:ascii="宋体" w:hAnsi="宋体" w:cs="宋体"/>
                <w:color w:val="auto"/>
                <w:sz w:val="21"/>
                <w:szCs w:val="21"/>
                <w:lang w:val="en-US" w:eastAsia="zh-CN" w:bidi="ar-SA"/>
              </w:rPr>
              <w:t>8</w:t>
            </w:r>
            <w:r>
              <w:rPr>
                <w:rFonts w:hint="eastAsia" w:ascii="宋体" w:hAnsi="宋体" w:eastAsia="宋体" w:cs="宋体"/>
                <w:color w:val="auto"/>
                <w:sz w:val="21"/>
                <w:szCs w:val="21"/>
                <w:lang w:val="en-US" w:eastAsia="zh-CN" w:bidi="ar-SA"/>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restart"/>
            <w:shd w:val="clear" w:color="auto" w:fill="auto"/>
            <w:vAlign w:val="center"/>
          </w:tcPr>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center"/>
              <w:textAlignment w:val="auto"/>
              <w:rPr>
                <w:rFonts w:hint="eastAsia" w:ascii="宋体" w:hAnsi="宋体" w:eastAsia="宋体" w:cs="宋体"/>
                <w:kern w:val="2"/>
                <w:sz w:val="21"/>
                <w:szCs w:val="21"/>
                <w:lang w:val="en-US" w:eastAsia="zh-CN" w:bidi="ar-SA"/>
              </w:rPr>
            </w:pPr>
            <w:r>
              <w:rPr>
                <w:rFonts w:hint="eastAsia" w:eastAsia="宋体" w:cs="宋体"/>
                <w:sz w:val="21"/>
                <w:szCs w:val="21"/>
                <w:lang w:eastAsia="zh-CN" w:bidi="ar"/>
              </w:rPr>
              <w:t>地下室</w:t>
            </w:r>
          </w:p>
        </w:tc>
        <w:tc>
          <w:tcPr>
            <w:tcW w:w="6915" w:type="dxa"/>
            <w:gridSpan w:val="2"/>
            <w:shd w:val="clear" w:color="auto" w:fill="auto"/>
            <w:vAlign w:val="top"/>
          </w:tcPr>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sz w:val="21"/>
                <w:szCs w:val="21"/>
              </w:rPr>
            </w:pPr>
            <w:r>
              <w:rPr>
                <w:rFonts w:hint="eastAsia" w:ascii="宋体" w:hAnsi="宋体" w:eastAsia="宋体" w:cs="宋体"/>
                <w:b/>
                <w:bCs/>
                <w:sz w:val="21"/>
                <w:szCs w:val="21"/>
              </w:rPr>
              <w:t>底板：</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现浇自防水</w:t>
            </w:r>
            <w:r>
              <w:rPr>
                <w:rFonts w:hint="eastAsia" w:ascii="宋体" w:hAnsi="宋体" w:eastAsia="宋体" w:cs="宋体"/>
                <w:color w:val="auto"/>
                <w:sz w:val="21"/>
                <w:szCs w:val="21"/>
                <w:lang w:val="en-US"/>
              </w:rPr>
              <w:t>钢筋混凝土</w:t>
            </w:r>
            <w:r>
              <w:rPr>
                <w:rFonts w:hint="eastAsia" w:ascii="宋体" w:hAnsi="宋体" w:cs="宋体"/>
                <w:color w:val="auto"/>
                <w:sz w:val="21"/>
                <w:szCs w:val="21"/>
                <w:lang w:val="en-US" w:eastAsia="zh-CN"/>
              </w:rPr>
              <w:t>底板（P8级），后浇带施工缝处增设1.5厚聚氨酯防水涂料（两侧各外扩400）</w:t>
            </w:r>
            <w:r>
              <w:rPr>
                <w:rFonts w:hint="eastAsia" w:ascii="宋体" w:hAnsi="宋体" w:eastAsia="宋体" w:cs="宋体"/>
                <w:color w:val="auto"/>
                <w:sz w:val="21"/>
                <w:szCs w:val="21"/>
                <w:lang w:val="en-US" w:eastAsia="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1.5mm厚高分子自粘胶膜（HDPE）预铺防水卷材</w:t>
            </w:r>
            <w:r>
              <w:rPr>
                <w:rFonts w:hint="eastAsia" w:ascii="宋体" w:hAnsi="宋体" w:eastAsia="宋体" w:cs="宋体"/>
                <w:color w:val="auto"/>
                <w:sz w:val="21"/>
                <w:szCs w:val="21"/>
                <w:lang w:val="en-US" w:eastAsia="zh-CN"/>
              </w:rPr>
              <w:t>（底板空铺或点粘，接缝搭接牢固，无需混凝土保护层</w:t>
            </w:r>
            <w:r>
              <w:rPr>
                <w:rFonts w:hint="eastAsia" w:ascii="宋体" w:hAnsi="宋体" w:cs="宋体"/>
                <w:color w:val="auto"/>
                <w:sz w:val="21"/>
                <w:szCs w:val="21"/>
                <w:lang w:val="en-US" w:eastAsia="zh-CN"/>
              </w:rPr>
              <w:t>）外墙墙体及钢筋混凝土墙体四周侧面上翻300；</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3、1.5厚聚氨酯防水涂料（单组份），用量2.8kg/m</w:t>
            </w:r>
            <w:r>
              <w:rPr>
                <w:rFonts w:hint="eastAsia" w:ascii="宋体" w:hAnsi="宋体" w:cs="宋体"/>
                <w:color w:val="auto"/>
                <w:sz w:val="21"/>
                <w:szCs w:val="21"/>
                <w:vertAlign w:val="superscript"/>
                <w:lang w:val="en-US" w:eastAsia="zh-CN"/>
              </w:rPr>
              <w:t>2</w:t>
            </w:r>
            <w:r>
              <w:rPr>
                <w:rFonts w:hint="eastAsia" w:ascii="宋体" w:hAnsi="宋体" w:cs="宋体"/>
                <w:color w:val="auto"/>
                <w:sz w:val="21"/>
                <w:szCs w:val="21"/>
                <w:lang w:val="en-US" w:eastAsia="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val="en-US"/>
              </w:rPr>
              <w:t>1</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rPr>
              <w:t>0厚C</w:t>
            </w:r>
            <w:r>
              <w:rPr>
                <w:rFonts w:hint="eastAsia" w:ascii="宋体" w:hAnsi="宋体" w:cs="宋体"/>
                <w:color w:val="auto"/>
                <w:sz w:val="21"/>
                <w:szCs w:val="21"/>
                <w:lang w:val="en-US" w:eastAsia="zh-CN"/>
              </w:rPr>
              <w:t>20素</w:t>
            </w:r>
            <w:r>
              <w:rPr>
                <w:rFonts w:hint="eastAsia" w:ascii="宋体" w:hAnsi="宋体" w:eastAsia="宋体" w:cs="宋体"/>
                <w:color w:val="auto"/>
                <w:sz w:val="21"/>
                <w:szCs w:val="21"/>
                <w:lang w:val="en-US"/>
              </w:rPr>
              <w:t>混凝土</w:t>
            </w:r>
            <w:r>
              <w:rPr>
                <w:rFonts w:hint="eastAsia" w:ascii="宋体" w:hAnsi="宋体" w:cs="宋体"/>
                <w:color w:val="auto"/>
                <w:sz w:val="21"/>
                <w:szCs w:val="21"/>
                <w:lang w:val="en-US" w:eastAsia="zh-CN"/>
              </w:rPr>
              <w:t>垫层</w:t>
            </w:r>
            <w:r>
              <w:rPr>
                <w:rFonts w:hint="eastAsia" w:ascii="宋体" w:hAnsi="宋体" w:eastAsia="宋体" w:cs="宋体"/>
                <w:color w:val="auto"/>
                <w:sz w:val="21"/>
                <w:szCs w:val="21"/>
                <w:lang w:val="en-US"/>
              </w:rPr>
              <w:t>，</w:t>
            </w:r>
            <w:r>
              <w:rPr>
                <w:rFonts w:hint="eastAsia" w:ascii="宋体" w:hAnsi="宋体" w:cs="宋体"/>
                <w:color w:val="auto"/>
                <w:sz w:val="21"/>
                <w:szCs w:val="21"/>
                <w:lang w:val="en-US" w:eastAsia="zh-CN"/>
              </w:rPr>
              <w:t>机械压光（以结构施工图为准）</w:t>
            </w:r>
            <w:r>
              <w:rPr>
                <w:rFonts w:hint="eastAsia" w:ascii="宋体" w:hAnsi="宋体" w:eastAsia="宋体" w:cs="宋体"/>
                <w:color w:val="auto"/>
                <w:sz w:val="21"/>
                <w:szCs w:val="21"/>
                <w:lang w:val="en-US"/>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rPr>
            </w:pP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10</w:t>
            </w:r>
            <w:r>
              <w:rPr>
                <w:rFonts w:hint="eastAsia" w:ascii="宋体" w:hAnsi="宋体" w:eastAsia="宋体" w:cs="宋体"/>
                <w:color w:val="auto"/>
                <w:sz w:val="21"/>
                <w:szCs w:val="21"/>
                <w:lang w:val="en-US"/>
              </w:rPr>
              <w:t>0厚碎石</w:t>
            </w:r>
            <w:r>
              <w:rPr>
                <w:rFonts w:hint="eastAsia" w:ascii="宋体" w:hAnsi="宋体" w:cs="宋体"/>
                <w:color w:val="auto"/>
                <w:sz w:val="21"/>
                <w:szCs w:val="21"/>
                <w:lang w:val="en-US" w:eastAsia="zh-CN"/>
              </w:rPr>
              <w:t>垫</w:t>
            </w:r>
            <w:r>
              <w:rPr>
                <w:rFonts w:hint="eastAsia" w:ascii="宋体" w:hAnsi="宋体" w:eastAsia="宋体" w:cs="宋体"/>
                <w:color w:val="auto"/>
                <w:sz w:val="21"/>
                <w:szCs w:val="21"/>
                <w:lang w:val="en-US"/>
              </w:rPr>
              <w:t>层</w:t>
            </w:r>
            <w:r>
              <w:rPr>
                <w:rFonts w:hint="eastAsia" w:ascii="宋体" w:hAnsi="宋体" w:cs="宋体"/>
                <w:color w:val="auto"/>
                <w:sz w:val="21"/>
                <w:szCs w:val="21"/>
                <w:lang w:val="en-US" w:eastAsia="zh-CN"/>
              </w:rPr>
              <w:t>（以结构施工图为准）</w:t>
            </w:r>
            <w:r>
              <w:rPr>
                <w:rFonts w:hint="eastAsia" w:ascii="宋体" w:hAnsi="宋体" w:eastAsia="宋体" w:cs="宋体"/>
                <w:color w:val="auto"/>
                <w:sz w:val="21"/>
                <w:szCs w:val="21"/>
                <w:lang w:val="en-US"/>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kern w:val="2"/>
                <w:sz w:val="21"/>
                <w:szCs w:val="21"/>
                <w:lang w:val="en-US" w:eastAsia="zh-CN" w:bidi="ar-SA"/>
              </w:rPr>
            </w:pP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、素土夯实（根据不同地质情况采取处理措施，具体详设计）</w:t>
            </w:r>
            <w:r>
              <w:rPr>
                <w:rFonts w:hint="eastAsia" w:ascii="宋体" w:hAnsi="宋体" w:eastAsia="宋体" w:cs="宋体"/>
                <w:color w:val="auto"/>
                <w:sz w:val="21"/>
                <w:szCs w:val="21"/>
                <w:lang w:val="en-US"/>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b/>
                <w:bCs/>
                <w:sz w:val="21"/>
                <w:szCs w:val="21"/>
                <w:lang w:val="en-US"/>
              </w:rPr>
            </w:pPr>
            <w:r>
              <w:rPr>
                <w:rFonts w:hint="eastAsia" w:ascii="宋体" w:hAnsi="宋体" w:eastAsia="宋体" w:cs="宋体"/>
                <w:b/>
                <w:bCs/>
                <w:sz w:val="21"/>
                <w:szCs w:val="21"/>
                <w:lang w:val="en-US" w:eastAsia="zh-CN"/>
              </w:rPr>
              <w:t>侧墙：</w:t>
            </w:r>
          </w:p>
          <w:p>
            <w:pPr>
              <w:keepNext w:val="0"/>
              <w:keepLines w:val="0"/>
              <w:pageBreakBefore w:val="0"/>
              <w:widowControl w:val="0"/>
              <w:numPr>
                <w:ilvl w:val="0"/>
                <w:numId w:val="12"/>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rPr>
              <w:t>回填土分层夯实</w:t>
            </w:r>
            <w:r>
              <w:rPr>
                <w:rFonts w:hint="eastAsia" w:ascii="宋体" w:hAnsi="宋体" w:cs="宋体"/>
                <w:color w:val="auto"/>
                <w:sz w:val="21"/>
                <w:szCs w:val="21"/>
                <w:lang w:val="en-US" w:eastAsia="zh-CN"/>
              </w:rPr>
              <w:t>（回填土的具体要求详见结构专业施工图）</w:t>
            </w:r>
            <w:r>
              <w:rPr>
                <w:rFonts w:hint="eastAsia" w:ascii="宋体" w:hAnsi="宋体" w:eastAsia="宋体" w:cs="宋体"/>
                <w:color w:val="auto"/>
                <w:sz w:val="21"/>
                <w:szCs w:val="21"/>
                <w:lang w:val="en-US"/>
              </w:rPr>
              <w:t>；</w:t>
            </w:r>
          </w:p>
          <w:p>
            <w:pPr>
              <w:keepNext w:val="0"/>
              <w:keepLines w:val="0"/>
              <w:pageBreakBefore w:val="0"/>
              <w:widowControl w:val="0"/>
              <w:numPr>
                <w:ilvl w:val="0"/>
                <w:numId w:val="12"/>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rPr>
            </w:pP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0厚</w:t>
            </w:r>
            <w:r>
              <w:rPr>
                <w:rFonts w:hint="eastAsia" w:ascii="宋体" w:hAnsi="宋体" w:cs="宋体"/>
                <w:color w:val="auto"/>
                <w:sz w:val="21"/>
                <w:szCs w:val="21"/>
                <w:lang w:val="en-US" w:eastAsia="zh-CN"/>
              </w:rPr>
              <w:t>挤塑</w:t>
            </w:r>
            <w:r>
              <w:rPr>
                <w:rFonts w:hint="eastAsia" w:ascii="宋体" w:hAnsi="宋体" w:eastAsia="宋体" w:cs="宋体"/>
                <w:color w:val="auto"/>
                <w:sz w:val="21"/>
                <w:szCs w:val="21"/>
                <w:lang w:val="en-US" w:eastAsia="zh-CN"/>
              </w:rPr>
              <w:t>聚苯乙烯泡沫塑料（</w:t>
            </w:r>
            <w:r>
              <w:rPr>
                <w:rFonts w:hint="eastAsia" w:ascii="宋体" w:hAnsi="宋体" w:cs="宋体"/>
                <w:color w:val="auto"/>
                <w:sz w:val="21"/>
                <w:szCs w:val="21"/>
                <w:lang w:val="en-US" w:eastAsia="zh-CN"/>
              </w:rPr>
              <w:t>密度大于20KG/M</w:t>
            </w:r>
            <w:r>
              <w:rPr>
                <w:rFonts w:hint="eastAsia" w:ascii="宋体" w:hAnsi="宋体" w:cs="宋体"/>
                <w:color w:val="auto"/>
                <w:sz w:val="21"/>
                <w:szCs w:val="21"/>
                <w:vertAlign w:val="superscript"/>
                <w:lang w:val="en-US" w:eastAsia="zh-CN"/>
              </w:rPr>
              <w:t>2</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保护层专用粘结剂粘结</w:t>
            </w:r>
            <w:r>
              <w:rPr>
                <w:rFonts w:hint="eastAsia" w:ascii="宋体" w:hAnsi="宋体" w:eastAsia="宋体" w:cs="宋体"/>
                <w:color w:val="auto"/>
                <w:sz w:val="21"/>
                <w:szCs w:val="21"/>
                <w:lang w:val="en-US" w:eastAsia="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1.5厚自粘聚合物改性沥青防水卷材（无胎）</w:t>
            </w:r>
            <w:r>
              <w:rPr>
                <w:rFonts w:hint="eastAsia" w:ascii="宋体" w:hAnsi="宋体" w:eastAsia="宋体" w:cs="宋体"/>
                <w:color w:val="auto"/>
                <w:sz w:val="21"/>
                <w:szCs w:val="21"/>
                <w:lang w:val="en-US"/>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cs="宋体"/>
                <w:color w:val="auto"/>
                <w:sz w:val="21"/>
                <w:szCs w:val="21"/>
                <w:lang w:val="en-US" w:eastAsia="zh-CN"/>
              </w:rPr>
              <w:t>2厚聚氨酯防水涂料（单组份），用量2.8kg/m</w:t>
            </w:r>
            <w:r>
              <w:rPr>
                <w:rFonts w:hint="eastAsia" w:ascii="宋体" w:hAnsi="宋体" w:cs="宋体"/>
                <w:color w:val="auto"/>
                <w:sz w:val="21"/>
                <w:szCs w:val="21"/>
                <w:vertAlign w:val="superscript"/>
                <w:lang w:val="en-US" w:eastAsia="zh-CN"/>
              </w:rPr>
              <w:t>2</w:t>
            </w:r>
            <w:r>
              <w:rPr>
                <w:rFonts w:hint="eastAsia" w:ascii="宋体" w:hAnsi="宋体" w:cs="宋体"/>
                <w:color w:val="auto"/>
                <w:sz w:val="21"/>
                <w:szCs w:val="21"/>
                <w:lang w:val="en-US" w:eastAsia="zh-CN"/>
              </w:rPr>
              <w:t>；</w:t>
            </w:r>
          </w:p>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jc w:val="both"/>
              <w:textAlignment w:val="auto"/>
              <w:rPr>
                <w:rFonts w:hint="eastAsia" w:ascii="宋体" w:hAnsi="宋体" w:cs="宋体"/>
                <w:color w:val="auto"/>
                <w:sz w:val="21"/>
                <w:szCs w:val="21"/>
                <w:lang w:val="en-US" w:eastAsia="zh-CN"/>
              </w:rPr>
            </w:pPr>
            <w:r>
              <w:rPr>
                <w:rFonts w:hint="eastAsia" w:ascii="宋体" w:hAnsi="宋体" w:eastAsia="宋体" w:cs="宋体"/>
                <w:color w:val="auto"/>
                <w:kern w:val="2"/>
                <w:sz w:val="21"/>
                <w:szCs w:val="21"/>
                <w:lang w:val="en-US" w:eastAsia="zh-CN" w:bidi="ar-SA"/>
              </w:rPr>
              <w:t>5、</w:t>
            </w:r>
            <w:r>
              <w:rPr>
                <w:rFonts w:hint="eastAsia" w:ascii="宋体" w:hAnsi="宋体" w:cs="宋体"/>
                <w:color w:val="auto"/>
                <w:sz w:val="21"/>
                <w:szCs w:val="21"/>
                <w:lang w:val="en-US" w:eastAsia="zh-CN"/>
              </w:rPr>
              <w:t>界面剂或素水泥浆一道；</w:t>
            </w:r>
          </w:p>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jc w:val="both"/>
              <w:textAlignment w:val="auto"/>
              <w:rPr>
                <w:rFonts w:hint="default" w:ascii="宋体" w:hAnsi="宋体" w:cs="宋体"/>
                <w:color w:val="FF0000"/>
                <w:sz w:val="21"/>
                <w:szCs w:val="21"/>
                <w:lang w:val="en-US" w:eastAsia="zh-CN"/>
              </w:rPr>
            </w:pPr>
            <w:r>
              <w:rPr>
                <w:rFonts w:hint="default" w:ascii="宋体" w:hAnsi="宋体" w:eastAsia="宋体" w:cs="宋体"/>
                <w:color w:val="auto"/>
                <w:kern w:val="2"/>
                <w:sz w:val="21"/>
                <w:szCs w:val="21"/>
                <w:lang w:val="en-US" w:eastAsia="zh-CN" w:bidi="ar-SA"/>
              </w:rPr>
              <w:t>6、</w:t>
            </w:r>
            <w:r>
              <w:rPr>
                <w:rFonts w:hint="eastAsia" w:ascii="宋体" w:hAnsi="宋体" w:cs="宋体"/>
                <w:color w:val="auto"/>
                <w:sz w:val="21"/>
                <w:szCs w:val="21"/>
                <w:lang w:val="en-US" w:eastAsia="zh-CN"/>
              </w:rPr>
              <w:t>自防水混凝土侧墙（P8级），完成平顺接茬、流浆打磨等基层处理</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顶板（地下室顶板上为绿化）：</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1、种植绿化土，具体见景观设计；</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2、土工布滤水层（聚丙烯或聚酯材料），≥300g/m2，四周上翻100高，并用粘结剂粘结固定。</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3、20高凸凹型排水板，支点向上；</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val="en-US" w:eastAsia="zh-CN" w:bidi="zh-CN"/>
              </w:rPr>
              <w:t>100厚C2</w:t>
            </w:r>
            <w:r>
              <w:rPr>
                <w:rFonts w:hint="eastAsia" w:ascii="宋体" w:hAnsi="宋体" w:cs="宋体"/>
                <w:color w:val="auto"/>
                <w:sz w:val="21"/>
                <w:szCs w:val="21"/>
                <w:lang w:val="en-US" w:eastAsia="zh-CN" w:bidi="zh-CN"/>
              </w:rPr>
              <w:t>5</w:t>
            </w:r>
            <w:r>
              <w:rPr>
                <w:rFonts w:hint="eastAsia" w:ascii="宋体" w:hAnsi="宋体" w:eastAsia="宋体" w:cs="宋体"/>
                <w:color w:val="auto"/>
                <w:sz w:val="21"/>
                <w:szCs w:val="21"/>
                <w:lang w:val="en-US" w:eastAsia="zh-CN" w:bidi="zh-CN"/>
              </w:rPr>
              <w:t>细石混凝土（人工回土）内配∅6@</w:t>
            </w:r>
            <w:r>
              <w:rPr>
                <w:rFonts w:hint="eastAsia" w:ascii="宋体" w:hAnsi="宋体" w:cs="宋体"/>
                <w:color w:val="auto"/>
                <w:sz w:val="21"/>
                <w:szCs w:val="21"/>
                <w:lang w:val="en-US" w:eastAsia="zh-CN" w:bidi="zh-CN"/>
              </w:rPr>
              <w:t>200单层</w:t>
            </w:r>
            <w:r>
              <w:rPr>
                <w:rFonts w:hint="eastAsia" w:ascii="宋体" w:hAnsi="宋体" w:eastAsia="宋体" w:cs="宋体"/>
                <w:color w:val="auto"/>
                <w:sz w:val="21"/>
                <w:szCs w:val="21"/>
                <w:lang w:val="en-US" w:eastAsia="zh-CN" w:bidi="zh-CN"/>
              </w:rPr>
              <w:t>双向钢筋置于上表面（</w:t>
            </w:r>
            <w:r>
              <w:rPr>
                <w:rFonts w:hint="eastAsia" w:ascii="宋体" w:hAnsi="宋体" w:cs="宋体"/>
                <w:color w:val="auto"/>
                <w:sz w:val="21"/>
                <w:szCs w:val="21"/>
                <w:lang w:val="en-US" w:eastAsia="zh-CN" w:bidi="zh-CN"/>
              </w:rPr>
              <w:t>设</w:t>
            </w:r>
            <w:r>
              <w:rPr>
                <w:rFonts w:hint="eastAsia" w:ascii="宋体" w:hAnsi="宋体" w:eastAsia="宋体" w:cs="宋体"/>
                <w:color w:val="auto"/>
                <w:sz w:val="21"/>
                <w:szCs w:val="21"/>
                <w:lang w:val="en-US" w:eastAsia="zh-CN" w:bidi="zh-CN"/>
              </w:rPr>
              <w:t>分仓缝</w:t>
            </w:r>
            <w:r>
              <w:rPr>
                <w:rFonts w:hint="eastAsia" w:ascii="宋体" w:hAnsi="宋体" w:cs="宋体"/>
                <w:color w:val="auto"/>
                <w:sz w:val="21"/>
                <w:szCs w:val="21"/>
                <w:lang w:val="en-US" w:eastAsia="zh-CN" w:bidi="zh-CN"/>
              </w:rPr>
              <w:t>间距不大于6m，钢筋必须断开，分格缝宽20mm，建筑油膏填缝密实）</w:t>
            </w:r>
            <w:r>
              <w:rPr>
                <w:rFonts w:hint="eastAsia" w:ascii="宋体" w:hAnsi="宋体" w:eastAsia="宋体" w:cs="宋体"/>
                <w:color w:val="auto"/>
                <w:sz w:val="21"/>
                <w:szCs w:val="21"/>
                <w:lang w:val="en-US" w:eastAsia="zh-CN" w:bidi="zh-CN"/>
              </w:rPr>
              <w:t>；</w:t>
            </w:r>
          </w:p>
          <w:p>
            <w:pPr>
              <w:pStyle w:val="2"/>
              <w:keepNext w:val="0"/>
              <w:keepLines w:val="0"/>
              <w:numPr>
                <w:ilvl w:val="0"/>
                <w:numId w:val="0"/>
              </w:numPr>
              <w:suppressLineNumbers w:val="0"/>
              <w:spacing w:before="0" w:beforeAutospacing="0" w:after="0" w:afterAutospacing="0"/>
              <w:ind w:left="0" w:leftChars="0" w:right="0" w:firstLine="0" w:firstLineChars="0"/>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eastAsia" w:ascii="宋体" w:hAnsi="宋体" w:eastAsia="宋体" w:cs="宋体"/>
                <w:color w:val="auto"/>
                <w:sz w:val="21"/>
                <w:szCs w:val="21"/>
                <w:lang w:val="en-US" w:eastAsia="zh-CN" w:bidi="zh-CN"/>
              </w:rPr>
              <w:t>隔离层：干铺油毡一层；</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6、铺设4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厚SBS改性沥青防水卷材</w:t>
            </w:r>
            <w:r>
              <w:rPr>
                <w:rFonts w:hint="eastAsia" w:ascii="宋体" w:hAnsi="宋体" w:cs="宋体"/>
                <w:color w:val="auto"/>
                <w:sz w:val="21"/>
                <w:szCs w:val="21"/>
                <w:lang w:val="en-US" w:eastAsia="zh-CN" w:bidi="zh-CN"/>
              </w:rPr>
              <w:t>（聚酯胎Ⅱ型）（含化学阻根剂），（高出顶板的墙体、管井外壁等部位防水为4厚SBS改性沥青防水卷材（聚酯胎Ⅰ型），</w:t>
            </w:r>
            <w:r>
              <w:rPr>
                <w:rFonts w:hint="eastAsia" w:ascii="宋体" w:hAnsi="宋体" w:eastAsia="宋体" w:cs="宋体"/>
                <w:color w:val="auto"/>
                <w:sz w:val="21"/>
                <w:szCs w:val="21"/>
                <w:lang w:val="en-US" w:eastAsia="zh-CN" w:bidi="zh-CN"/>
              </w:rPr>
              <w:t>±</w:t>
            </w:r>
            <w:r>
              <w:rPr>
                <w:rFonts w:hint="eastAsia" w:ascii="宋体" w:hAnsi="宋体" w:cs="宋体"/>
                <w:color w:val="auto"/>
                <w:sz w:val="21"/>
                <w:szCs w:val="21"/>
                <w:lang w:val="en-US" w:eastAsia="zh-CN" w:bidi="zh-CN"/>
              </w:rPr>
              <w:t>0.000以上50cm为1.5厚单组份聚氨酯防水涂料）</w:t>
            </w:r>
            <w:r>
              <w:rPr>
                <w:rFonts w:hint="eastAsia" w:ascii="宋体" w:hAnsi="宋体" w:eastAsia="宋体" w:cs="宋体"/>
                <w:color w:val="auto"/>
                <w:sz w:val="21"/>
                <w:szCs w:val="21"/>
                <w:lang w:val="en-US" w:eastAsia="zh-CN" w:bidi="zh-CN"/>
              </w:rPr>
              <w:t>；</w:t>
            </w:r>
          </w:p>
          <w:p>
            <w:pPr>
              <w:pStyle w:val="2"/>
              <w:keepNext w:val="0"/>
              <w:keepLines w:val="0"/>
              <w:numPr>
                <w:ilvl w:val="0"/>
                <w:numId w:val="0"/>
              </w:numPr>
              <w:suppressLineNumbers w:val="0"/>
              <w:spacing w:before="0" w:beforeAutospacing="0" w:after="0" w:afterAutospacing="0"/>
              <w:ind w:left="0" w:leftChars="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7、2.0厚非固化橡胶沥青防水涂料一道，遇外墙处1.5厚聚氨酯防水涂料沿外墙卷起至主楼正负零地坪以上300mm；</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Times New Roman" w:hAnsi="Times New Roman" w:eastAsia="宋体" w:cs="Times New Roman"/>
                <w:kern w:val="2"/>
                <w:sz w:val="21"/>
                <w:szCs w:val="21"/>
                <w:lang w:val="en-US" w:eastAsia="zh-CN" w:bidi="ar-SA"/>
              </w:rPr>
            </w:pPr>
            <w:r>
              <w:rPr>
                <w:rFonts w:hint="eastAsia" w:ascii="宋体" w:hAnsi="宋体" w:eastAsia="宋体" w:cs="宋体"/>
                <w:color w:val="auto"/>
                <w:sz w:val="21"/>
                <w:szCs w:val="21"/>
                <w:lang w:val="en-US" w:eastAsia="zh-CN"/>
              </w:rPr>
              <w:t>8、钢筋砼顶板抗渗自防水（P8级</w:t>
            </w:r>
            <w:r>
              <w:rPr>
                <w:rFonts w:hint="eastAsia" w:ascii="宋体" w:hAnsi="宋体" w:cs="宋体"/>
                <w:color w:val="auto"/>
                <w:sz w:val="21"/>
                <w:szCs w:val="21"/>
                <w:lang w:val="en-US" w:eastAsia="zh-CN"/>
              </w:rPr>
              <w:t>）屋面板随捣随抹光，表面抛丸清理干净，沿四周边阴、阳角做R角。</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顶板（地下室顶板上为车行道、消防车道、消防登高面）：</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bidi="zh-CN"/>
              </w:rPr>
              <w:t>100厚C2</w:t>
            </w:r>
            <w:r>
              <w:rPr>
                <w:rFonts w:hint="eastAsia" w:ascii="宋体" w:hAnsi="宋体" w:cs="宋体"/>
                <w:color w:val="auto"/>
                <w:sz w:val="21"/>
                <w:szCs w:val="21"/>
                <w:lang w:val="en-US" w:eastAsia="zh-CN" w:bidi="zh-CN"/>
              </w:rPr>
              <w:t>5</w:t>
            </w:r>
            <w:r>
              <w:rPr>
                <w:rFonts w:hint="eastAsia" w:ascii="宋体" w:hAnsi="宋体" w:eastAsia="宋体" w:cs="宋体"/>
                <w:color w:val="auto"/>
                <w:sz w:val="21"/>
                <w:szCs w:val="21"/>
                <w:lang w:val="en-US" w:eastAsia="zh-CN" w:bidi="zh-CN"/>
              </w:rPr>
              <w:t>细石混凝土（内掺微膨胀剂，配∅8@</w:t>
            </w:r>
            <w:r>
              <w:rPr>
                <w:rFonts w:hint="eastAsia" w:ascii="宋体" w:hAnsi="宋体" w:cs="宋体"/>
                <w:color w:val="auto"/>
                <w:sz w:val="21"/>
                <w:szCs w:val="21"/>
                <w:lang w:val="en-US" w:eastAsia="zh-CN" w:bidi="zh-CN"/>
              </w:rPr>
              <w:t>250单层</w:t>
            </w:r>
            <w:r>
              <w:rPr>
                <w:rFonts w:hint="eastAsia" w:ascii="宋体" w:hAnsi="宋体" w:eastAsia="宋体" w:cs="宋体"/>
                <w:color w:val="auto"/>
                <w:sz w:val="21"/>
                <w:szCs w:val="21"/>
                <w:lang w:val="en-US" w:eastAsia="zh-CN" w:bidi="zh-CN"/>
              </w:rPr>
              <w:t>双向钢筋置于上部）撒干拌1：2水泥砂随捣随抹光，表面压光，设置分格缝，缝宽20mm，纵横间距≤6m，</w:t>
            </w:r>
            <w:r>
              <w:rPr>
                <w:rFonts w:hint="eastAsia" w:ascii="宋体" w:hAnsi="宋体" w:cs="宋体"/>
                <w:color w:val="auto"/>
                <w:sz w:val="21"/>
                <w:szCs w:val="21"/>
                <w:lang w:val="en-US" w:eastAsia="zh-CN" w:bidi="zh-CN"/>
              </w:rPr>
              <w:t>建筑油膏填缝密实</w:t>
            </w:r>
            <w:r>
              <w:rPr>
                <w:rFonts w:hint="eastAsia" w:ascii="宋体" w:hAnsi="宋体" w:eastAsia="宋体" w:cs="宋体"/>
                <w:color w:val="auto"/>
                <w:sz w:val="21"/>
                <w:szCs w:val="21"/>
                <w:lang w:val="en-US" w:eastAsia="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2、80厚碎石层。</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3、300~500厚塘渣分层压实；</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val="en-US" w:eastAsia="zh-CN" w:bidi="zh-CN"/>
              </w:rPr>
              <w:t>100厚C2</w:t>
            </w:r>
            <w:r>
              <w:rPr>
                <w:rFonts w:hint="eastAsia" w:ascii="宋体" w:hAnsi="宋体" w:cs="宋体"/>
                <w:color w:val="auto"/>
                <w:sz w:val="21"/>
                <w:szCs w:val="21"/>
                <w:lang w:val="en-US" w:eastAsia="zh-CN" w:bidi="zh-CN"/>
              </w:rPr>
              <w:t>5</w:t>
            </w:r>
            <w:r>
              <w:rPr>
                <w:rFonts w:hint="eastAsia" w:ascii="宋体" w:hAnsi="宋体" w:eastAsia="宋体" w:cs="宋体"/>
                <w:color w:val="auto"/>
                <w:sz w:val="21"/>
                <w:szCs w:val="21"/>
                <w:lang w:val="en-US" w:eastAsia="zh-CN" w:bidi="zh-CN"/>
              </w:rPr>
              <w:t>细石混凝土（人工回土）内配∅6@</w:t>
            </w:r>
            <w:r>
              <w:rPr>
                <w:rFonts w:hint="eastAsia" w:ascii="宋体" w:hAnsi="宋体" w:cs="宋体"/>
                <w:color w:val="auto"/>
                <w:sz w:val="21"/>
                <w:szCs w:val="21"/>
                <w:lang w:val="en-US" w:eastAsia="zh-CN" w:bidi="zh-CN"/>
              </w:rPr>
              <w:t>200单层</w:t>
            </w:r>
            <w:r>
              <w:rPr>
                <w:rFonts w:hint="eastAsia" w:ascii="宋体" w:hAnsi="宋体" w:eastAsia="宋体" w:cs="宋体"/>
                <w:color w:val="auto"/>
                <w:sz w:val="21"/>
                <w:szCs w:val="21"/>
                <w:lang w:val="en-US" w:eastAsia="zh-CN" w:bidi="zh-CN"/>
              </w:rPr>
              <w:t>双向钢筋置于上表面（</w:t>
            </w:r>
            <w:r>
              <w:rPr>
                <w:rFonts w:hint="eastAsia" w:ascii="宋体" w:hAnsi="宋体" w:cs="宋体"/>
                <w:color w:val="auto"/>
                <w:sz w:val="21"/>
                <w:szCs w:val="21"/>
                <w:lang w:val="en-US" w:eastAsia="zh-CN" w:bidi="zh-CN"/>
              </w:rPr>
              <w:t>设</w:t>
            </w:r>
            <w:r>
              <w:rPr>
                <w:rFonts w:hint="eastAsia" w:ascii="宋体" w:hAnsi="宋体" w:eastAsia="宋体" w:cs="宋体"/>
                <w:color w:val="auto"/>
                <w:sz w:val="21"/>
                <w:szCs w:val="21"/>
                <w:lang w:val="en-US" w:eastAsia="zh-CN" w:bidi="zh-CN"/>
              </w:rPr>
              <w:t>分仓缝</w:t>
            </w:r>
            <w:r>
              <w:rPr>
                <w:rFonts w:hint="eastAsia" w:ascii="宋体" w:hAnsi="宋体" w:cs="宋体"/>
                <w:color w:val="auto"/>
                <w:sz w:val="21"/>
                <w:szCs w:val="21"/>
                <w:lang w:val="en-US" w:eastAsia="zh-CN" w:bidi="zh-CN"/>
              </w:rPr>
              <w:t>间距不大于6m，钢筋必须断开，分格缝宽20mm，建筑油膏填缝密实）</w:t>
            </w:r>
            <w:r>
              <w:rPr>
                <w:rFonts w:hint="eastAsia" w:ascii="宋体" w:hAnsi="宋体" w:eastAsia="宋体" w:cs="宋体"/>
                <w:color w:val="auto"/>
                <w:sz w:val="21"/>
                <w:szCs w:val="21"/>
                <w:lang w:val="en-US" w:eastAsia="zh-CN" w:bidi="zh-CN"/>
              </w:rPr>
              <w:t>；</w:t>
            </w:r>
          </w:p>
          <w:p>
            <w:pPr>
              <w:pStyle w:val="2"/>
              <w:keepNext w:val="0"/>
              <w:keepLines w:val="0"/>
              <w:numPr>
                <w:ilvl w:val="0"/>
                <w:numId w:val="0"/>
              </w:numPr>
              <w:suppressLineNumbers w:val="0"/>
              <w:spacing w:before="0" w:beforeAutospacing="0" w:after="0" w:afterAutospacing="0"/>
              <w:ind w:left="0" w:leftChars="0" w:right="0" w:firstLine="0" w:firstLineChars="0"/>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eastAsia" w:ascii="宋体" w:hAnsi="宋体" w:eastAsia="宋体" w:cs="宋体"/>
                <w:color w:val="auto"/>
                <w:sz w:val="21"/>
                <w:szCs w:val="21"/>
                <w:lang w:val="en-US" w:eastAsia="zh-CN" w:bidi="zh-CN"/>
              </w:rPr>
              <w:t>隔离层：干铺油毡一层；</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6、铺设4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厚SBS改性沥青防水卷材</w:t>
            </w:r>
            <w:r>
              <w:rPr>
                <w:rFonts w:hint="eastAsia" w:ascii="宋体" w:hAnsi="宋体" w:cs="宋体"/>
                <w:color w:val="auto"/>
                <w:sz w:val="21"/>
                <w:szCs w:val="21"/>
                <w:lang w:val="en-US" w:eastAsia="zh-CN" w:bidi="zh-CN"/>
              </w:rPr>
              <w:t>（聚酯胎Ⅱ型）（含化学阻根剂），（高出顶板的墙体、管井外壁等部位防水为4厚SBS改性沥青防水卷材（聚酯胎Ⅰ型），</w:t>
            </w:r>
            <w:r>
              <w:rPr>
                <w:rFonts w:hint="eastAsia" w:ascii="宋体" w:hAnsi="宋体" w:eastAsia="宋体" w:cs="宋体"/>
                <w:color w:val="auto"/>
                <w:sz w:val="21"/>
                <w:szCs w:val="21"/>
                <w:lang w:val="en-US" w:eastAsia="zh-CN" w:bidi="zh-CN"/>
              </w:rPr>
              <w:t>±</w:t>
            </w:r>
            <w:r>
              <w:rPr>
                <w:rFonts w:hint="eastAsia" w:ascii="宋体" w:hAnsi="宋体" w:cs="宋体"/>
                <w:color w:val="auto"/>
                <w:sz w:val="21"/>
                <w:szCs w:val="21"/>
                <w:lang w:val="en-US" w:eastAsia="zh-CN" w:bidi="zh-CN"/>
              </w:rPr>
              <w:t>0.000以上50cm为1.5厚单组份聚氨酯防水涂料）</w:t>
            </w:r>
            <w:r>
              <w:rPr>
                <w:rFonts w:hint="eastAsia" w:ascii="宋体" w:hAnsi="宋体" w:eastAsia="宋体" w:cs="宋体"/>
                <w:color w:val="auto"/>
                <w:sz w:val="21"/>
                <w:szCs w:val="21"/>
                <w:lang w:val="en-US" w:eastAsia="zh-CN" w:bidi="zh-CN"/>
              </w:rPr>
              <w:t>；</w:t>
            </w:r>
          </w:p>
          <w:p>
            <w:pPr>
              <w:pStyle w:val="2"/>
              <w:keepNext w:val="0"/>
              <w:keepLines w:val="0"/>
              <w:numPr>
                <w:ilvl w:val="0"/>
                <w:numId w:val="0"/>
              </w:numPr>
              <w:suppressLineNumbers w:val="0"/>
              <w:spacing w:before="0" w:beforeAutospacing="0" w:after="0" w:afterAutospacing="0"/>
              <w:ind w:left="0" w:leftChars="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7、2.0厚非固化橡胶沥青防水涂料一道，遇外墙处沿外墙卷起至主楼正负零地坪以上300mm；</w:t>
            </w:r>
          </w:p>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rightChars="0"/>
              <w:jc w:val="both"/>
              <w:textAlignment w:val="auto"/>
              <w:rPr>
                <w:rFonts w:hint="eastAsia" w:ascii="宋体" w:hAnsi="宋体" w:cs="宋体"/>
                <w:color w:val="auto"/>
                <w:sz w:val="21"/>
                <w:szCs w:val="21"/>
                <w:lang w:val="en-US" w:eastAsia="zh-CN"/>
              </w:rPr>
            </w:pPr>
            <w:r>
              <w:rPr>
                <w:rFonts w:hint="eastAsia" w:ascii="宋体" w:hAnsi="宋体" w:eastAsia="宋体" w:cs="宋体"/>
                <w:color w:val="auto"/>
                <w:sz w:val="21"/>
                <w:szCs w:val="21"/>
                <w:lang w:val="en-US" w:eastAsia="zh-CN"/>
              </w:rPr>
              <w:t>8、钢筋砼顶板抗渗自防水（P8级</w:t>
            </w:r>
            <w:r>
              <w:rPr>
                <w:rFonts w:hint="eastAsia" w:ascii="宋体" w:hAnsi="宋体" w:cs="宋体"/>
                <w:color w:val="auto"/>
                <w:sz w:val="21"/>
                <w:szCs w:val="21"/>
                <w:lang w:val="en-US" w:eastAsia="zh-CN"/>
              </w:rPr>
              <w:t>）屋面板随捣随抹光，表面抛丸清理干净，沿四周边阴、阳角做R角。</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顶板（</w:t>
            </w:r>
            <w:r>
              <w:rPr>
                <w:rFonts w:hint="eastAsia" w:ascii="宋体" w:hAnsi="宋体" w:cs="宋体"/>
                <w:b/>
                <w:bCs/>
                <w:sz w:val="21"/>
                <w:szCs w:val="21"/>
                <w:lang w:val="en-US" w:eastAsia="zh-CN"/>
              </w:rPr>
              <w:t>上部为半室外空间、室外楼梯一层地面门廊</w:t>
            </w:r>
            <w:r>
              <w:rPr>
                <w:rFonts w:hint="eastAsia" w:ascii="宋体" w:hAnsi="宋体" w:eastAsia="宋体" w:cs="宋体"/>
                <w:b/>
                <w:bCs/>
                <w:sz w:val="21"/>
                <w:szCs w:val="21"/>
                <w:lang w:val="en-US" w:eastAsia="zh-CN"/>
              </w:rPr>
              <w:t>）：</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1、地上相应半室外空间的地面做法；</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2、100厚C25细石混凝土（人工回土）内配∅6@200单层双向钢筋置于上表面（设分仓缝间距不大于6m，钢筋必须断开，分格缝宽20mm，建筑油膏填缝密实）；</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3、干铺油毡隔离层一道；</w:t>
            </w:r>
          </w:p>
          <w:p>
            <w:pPr>
              <w:pStyle w:val="2"/>
              <w:keepNext w:val="0"/>
              <w:keepLines w:val="0"/>
              <w:numPr>
                <w:ilvl w:val="0"/>
                <w:numId w:val="0"/>
              </w:numPr>
              <w:suppressLineNumbers w:val="0"/>
              <w:spacing w:before="0" w:beforeAutospacing="0" w:after="0" w:afterAutospacing="0"/>
              <w:ind w:left="0" w:leftChars="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4、1.5厚聚氨酯防水涂料，上翻到垫层高度；</w:t>
            </w:r>
          </w:p>
          <w:p>
            <w:pPr>
              <w:pStyle w:val="2"/>
              <w:keepNext w:val="0"/>
              <w:keepLines w:val="0"/>
              <w:numPr>
                <w:ilvl w:val="0"/>
                <w:numId w:val="0"/>
              </w:numPr>
              <w:suppressLineNumbers w:val="0"/>
              <w:spacing w:before="0" w:beforeAutospacing="0" w:after="0" w:afterAutospacing="0"/>
              <w:ind w:left="0" w:leftChars="0" w:right="0"/>
              <w:rPr>
                <w:rFonts w:hint="eastAsia" w:ascii="宋体" w:hAnsi="宋体" w:cs="宋体"/>
                <w:color w:val="auto"/>
                <w:sz w:val="21"/>
                <w:szCs w:val="21"/>
                <w:lang w:val="en-US" w:eastAsia="zh-CN"/>
              </w:rPr>
            </w:pPr>
            <w:r>
              <w:rPr>
                <w:rFonts w:hint="eastAsia" w:ascii="宋体" w:hAnsi="宋体" w:eastAsia="宋体" w:cs="宋体"/>
                <w:color w:val="auto"/>
                <w:sz w:val="21"/>
                <w:szCs w:val="21"/>
                <w:lang w:val="en-US" w:eastAsia="zh-CN" w:bidi="zh-CN"/>
              </w:rPr>
              <w:t>5、密实性抗渗自防水钢筋砼地下室顶板（P8级），表面抛丸清理干净，阴阳角处采用DSM20水泥砂浆抹R50圆弧。</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顶板（</w:t>
            </w:r>
            <w:r>
              <w:rPr>
                <w:rFonts w:hint="eastAsia" w:ascii="宋体" w:hAnsi="宋体" w:cs="宋体"/>
                <w:b/>
                <w:bCs/>
                <w:sz w:val="21"/>
                <w:szCs w:val="21"/>
                <w:lang w:val="en-US" w:eastAsia="zh-CN"/>
              </w:rPr>
              <w:t>上部为室内用房</w:t>
            </w:r>
            <w:r>
              <w:rPr>
                <w:rFonts w:hint="eastAsia" w:ascii="宋体" w:hAnsi="宋体" w:eastAsia="宋体" w:cs="宋体"/>
                <w:b/>
                <w:bCs/>
                <w:sz w:val="21"/>
                <w:szCs w:val="21"/>
                <w:lang w:val="en-US" w:eastAsia="zh-CN"/>
              </w:rPr>
              <w:t>）：</w:t>
            </w:r>
          </w:p>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1、</w:t>
            </w:r>
            <w:r>
              <w:rPr>
                <w:rFonts w:hint="eastAsia" w:ascii="宋体" w:hAnsi="宋体" w:cs="宋体"/>
                <w:color w:val="auto"/>
                <w:sz w:val="21"/>
                <w:szCs w:val="21"/>
                <w:lang w:val="en-US" w:eastAsia="zh-CN"/>
              </w:rPr>
              <w:t>详楼地面基层处理通用做法下有结板</w:t>
            </w:r>
            <w:r>
              <w:rPr>
                <w:rFonts w:hint="eastAsia" w:ascii="宋体" w:hAnsi="宋体" w:eastAsia="宋体" w:cs="宋体"/>
                <w:color w:val="auto"/>
                <w:sz w:val="21"/>
                <w:szCs w:val="21"/>
                <w:lang w:val="en-US" w:eastAsia="zh-CN"/>
              </w:rPr>
              <w:t>；</w:t>
            </w:r>
          </w:p>
          <w:p>
            <w:pPr>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rightChars="0"/>
              <w:jc w:val="both"/>
              <w:textAlignment w:val="auto"/>
              <w:rPr>
                <w:rFonts w:hint="eastAsia" w:ascii="宋体" w:hAnsi="宋体" w:cs="宋体"/>
                <w:color w:val="auto"/>
                <w:sz w:val="21"/>
                <w:szCs w:val="21"/>
                <w:lang w:val="en-US" w:eastAsia="zh-CN"/>
              </w:rPr>
            </w:pPr>
            <w:r>
              <w:rPr>
                <w:rFonts w:hint="eastAsia" w:ascii="Times New Roman" w:hAnsi="Times New Roman" w:eastAsia="宋体" w:cs="Times New Roman"/>
                <w:kern w:val="2"/>
                <w:sz w:val="21"/>
                <w:szCs w:val="21"/>
                <w:lang w:val="en-US" w:eastAsia="zh-CN" w:bidi="ar-SA"/>
              </w:rPr>
              <w:t>2、</w:t>
            </w:r>
            <w:r>
              <w:rPr>
                <w:rFonts w:hint="eastAsia" w:ascii="宋体" w:hAnsi="宋体" w:cs="宋体"/>
                <w:color w:val="auto"/>
                <w:sz w:val="21"/>
                <w:szCs w:val="21"/>
                <w:lang w:val="en-US" w:eastAsia="zh-CN"/>
              </w:rPr>
              <w:t>密实性抗渗自防水钢筋砼地下室顶板（P8级），表面抛丸清理干净，阴阳角处采用DSM20水泥砂浆抹R50圆弧。</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restart"/>
            <w:shd w:val="clear" w:color="auto" w:fill="auto"/>
            <w:vAlign w:val="center"/>
          </w:tcPr>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center"/>
              <w:textAlignment w:val="auto"/>
              <w:rPr>
                <w:rFonts w:hint="eastAsia" w:ascii="宋体" w:hAnsi="宋体" w:eastAsia="宋体" w:cs="宋体"/>
                <w:kern w:val="2"/>
                <w:sz w:val="21"/>
                <w:szCs w:val="21"/>
                <w:lang w:val="en-US" w:eastAsia="zh-CN" w:bidi="ar-SA"/>
              </w:rPr>
            </w:pPr>
            <w:r>
              <w:rPr>
                <w:rStyle w:val="244"/>
                <w:rFonts w:hint="eastAsia" w:ascii="宋体" w:hAnsi="宋体" w:eastAsia="宋体" w:cs="宋体"/>
                <w:spacing w:val="6"/>
                <w:sz w:val="21"/>
                <w:szCs w:val="21"/>
              </w:rPr>
              <w:t>屋面</w:t>
            </w:r>
          </w:p>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eastAsia="宋体" w:cs="宋体"/>
                <w:b/>
                <w:bCs/>
                <w:sz w:val="21"/>
                <w:szCs w:val="21"/>
                <w:lang w:val="en-US" w:eastAsia="zh-CN" w:bidi="zh-CN"/>
              </w:rPr>
              <w:t>屋面1：</w:t>
            </w:r>
            <w:r>
              <w:rPr>
                <w:rFonts w:hint="eastAsia" w:ascii="宋体" w:hAnsi="宋体" w:cs="宋体"/>
                <w:b/>
                <w:bCs/>
                <w:sz w:val="21"/>
                <w:szCs w:val="21"/>
                <w:lang w:val="en-US" w:eastAsia="zh-CN" w:bidi="zh-CN"/>
              </w:rPr>
              <w:t>保温上人（非上人）平屋面、露台、屋面内檐沟</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1、</w:t>
            </w:r>
            <w:r>
              <w:rPr>
                <w:rFonts w:hint="eastAsia" w:ascii="宋体" w:hAnsi="宋体" w:eastAsia="宋体" w:cs="宋体"/>
                <w:color w:val="auto"/>
                <w:sz w:val="21"/>
                <w:szCs w:val="21"/>
                <w:lang w:val="en-US" w:eastAsia="zh-CN" w:bidi="zh-CN"/>
              </w:rPr>
              <w:t>50厚C2</w:t>
            </w:r>
            <w:r>
              <w:rPr>
                <w:rFonts w:hint="eastAsia" w:ascii="宋体" w:hAnsi="宋体" w:cs="宋体"/>
                <w:color w:val="auto"/>
                <w:sz w:val="21"/>
                <w:szCs w:val="21"/>
                <w:lang w:val="en-US" w:eastAsia="zh-CN" w:bidi="zh-CN"/>
              </w:rPr>
              <w:t>5</w:t>
            </w:r>
            <w:r>
              <w:rPr>
                <w:rFonts w:hint="eastAsia" w:ascii="宋体" w:hAnsi="宋体" w:eastAsia="宋体" w:cs="宋体"/>
                <w:color w:val="auto"/>
                <w:sz w:val="21"/>
                <w:szCs w:val="21"/>
                <w:lang w:val="en-US" w:eastAsia="zh-CN" w:bidi="zh-CN"/>
              </w:rPr>
              <w:t>细石混凝土</w:t>
            </w:r>
            <w:r>
              <w:rPr>
                <w:rFonts w:hint="eastAsia" w:ascii="宋体" w:hAnsi="宋体" w:cs="宋体"/>
                <w:color w:val="auto"/>
                <w:sz w:val="21"/>
                <w:szCs w:val="21"/>
                <w:lang w:val="en-US" w:eastAsia="zh-CN" w:bidi="zh-CN"/>
              </w:rPr>
              <w:t>刚性保护层</w:t>
            </w:r>
            <w:r>
              <w:rPr>
                <w:rFonts w:hint="eastAsia" w:ascii="宋体" w:hAnsi="宋体" w:eastAsia="宋体" w:cs="宋体"/>
                <w:color w:val="auto"/>
                <w:sz w:val="21"/>
                <w:szCs w:val="21"/>
                <w:lang w:val="en-US" w:eastAsia="zh-CN" w:bidi="zh-CN"/>
              </w:rPr>
              <w:t>∅6@</w:t>
            </w:r>
            <w:r>
              <w:rPr>
                <w:rFonts w:hint="eastAsia" w:ascii="宋体" w:hAnsi="宋体" w:cs="宋体"/>
                <w:color w:val="auto"/>
                <w:sz w:val="21"/>
                <w:szCs w:val="21"/>
                <w:lang w:val="en-US" w:eastAsia="zh-CN" w:bidi="zh-CN"/>
              </w:rPr>
              <w:t>15</w:t>
            </w:r>
            <w:r>
              <w:rPr>
                <w:rFonts w:hint="eastAsia" w:ascii="宋体" w:hAnsi="宋体" w:eastAsia="宋体" w:cs="宋体"/>
                <w:color w:val="auto"/>
                <w:sz w:val="21"/>
                <w:szCs w:val="21"/>
                <w:lang w:val="en-US" w:eastAsia="zh-CN" w:bidi="zh-CN"/>
              </w:rPr>
              <w:t>0</w:t>
            </w:r>
            <w:r>
              <w:rPr>
                <w:rFonts w:hint="eastAsia" w:ascii="宋体" w:hAnsi="宋体" w:cs="宋体"/>
                <w:color w:val="auto"/>
                <w:sz w:val="21"/>
                <w:szCs w:val="21"/>
                <w:lang w:val="en-US" w:eastAsia="zh-CN" w:bidi="zh-CN"/>
              </w:rPr>
              <w:t>单层</w:t>
            </w:r>
            <w:r>
              <w:rPr>
                <w:rFonts w:hint="eastAsia" w:ascii="宋体" w:hAnsi="宋体" w:eastAsia="宋体" w:cs="宋体"/>
                <w:color w:val="auto"/>
                <w:sz w:val="21"/>
                <w:szCs w:val="21"/>
                <w:lang w:val="en-US" w:eastAsia="zh-CN" w:bidi="zh-CN"/>
              </w:rPr>
              <w:t>双向钢筋网片，</w:t>
            </w:r>
            <w:r>
              <w:rPr>
                <w:rFonts w:hint="eastAsia" w:ascii="宋体" w:hAnsi="宋体" w:cs="宋体"/>
                <w:color w:val="auto"/>
                <w:sz w:val="21"/>
                <w:szCs w:val="21"/>
                <w:lang w:val="en-US" w:eastAsia="zh-CN" w:bidi="zh-CN"/>
              </w:rPr>
              <w:t>设</w:t>
            </w:r>
            <w:r>
              <w:rPr>
                <w:rFonts w:hint="eastAsia" w:ascii="宋体" w:hAnsi="宋体" w:eastAsia="宋体" w:cs="宋体"/>
                <w:color w:val="auto"/>
                <w:sz w:val="21"/>
                <w:szCs w:val="21"/>
                <w:lang w:val="en-US" w:eastAsia="zh-CN" w:bidi="zh-CN"/>
              </w:rPr>
              <w:t>分仓缝</w:t>
            </w:r>
            <w:r>
              <w:rPr>
                <w:rFonts w:hint="eastAsia" w:ascii="宋体" w:hAnsi="宋体" w:cs="宋体"/>
                <w:color w:val="auto"/>
                <w:sz w:val="21"/>
                <w:szCs w:val="21"/>
                <w:lang w:val="en-US" w:eastAsia="zh-CN" w:bidi="zh-CN"/>
              </w:rPr>
              <w:t>间距不大于6m，缝宽20mm，建筑油膏填缝密实</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2、</w:t>
            </w:r>
            <w:r>
              <w:rPr>
                <w:rFonts w:hint="eastAsia" w:ascii="宋体" w:hAnsi="宋体" w:cs="宋体"/>
                <w:color w:val="auto"/>
                <w:sz w:val="21"/>
                <w:szCs w:val="21"/>
                <w:lang w:val="en-US" w:eastAsia="zh-CN" w:bidi="zh-CN"/>
              </w:rPr>
              <w:t>无纺布隔离层</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eastAsia" w:ascii="宋体" w:hAnsi="宋体" w:cs="宋体"/>
                <w:color w:val="auto"/>
                <w:sz w:val="21"/>
                <w:szCs w:val="21"/>
                <w:lang w:val="en-US" w:eastAsia="zh-CN" w:bidi="zh-CN"/>
              </w:rPr>
              <w:t>B1级</w:t>
            </w:r>
            <w:r>
              <w:rPr>
                <w:rFonts w:hint="eastAsia" w:ascii="宋体" w:hAnsi="宋体" w:eastAsia="宋体" w:cs="宋体"/>
                <w:color w:val="auto"/>
                <w:sz w:val="21"/>
                <w:szCs w:val="21"/>
                <w:lang w:val="en-US" w:eastAsia="zh-CN" w:bidi="zh-CN"/>
              </w:rPr>
              <w:t>挤塑聚苯板</w:t>
            </w:r>
            <w:r>
              <w:rPr>
                <w:rFonts w:hint="eastAsia" w:ascii="宋体" w:hAnsi="宋体" w:cs="宋体"/>
                <w:color w:val="auto"/>
                <w:sz w:val="21"/>
                <w:szCs w:val="21"/>
                <w:lang w:val="en-US" w:eastAsia="zh-CN" w:bidi="zh-CN"/>
              </w:rPr>
              <w:t>保温层 1#门卫、4#楼 170厚；2#厂房、3#厂房为40厚</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eastAsia" w:ascii="宋体" w:hAnsi="宋体" w:eastAsia="宋体" w:cs="宋体"/>
                <w:color w:val="auto"/>
                <w:sz w:val="21"/>
                <w:szCs w:val="21"/>
                <w:lang w:val="en-US" w:eastAsia="zh-CN" w:bidi="zh-CN"/>
              </w:rPr>
              <w:t>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厚SBS改性沥青防水卷材</w:t>
            </w:r>
            <w:r>
              <w:rPr>
                <w:rFonts w:hint="eastAsia" w:ascii="宋体" w:hAnsi="宋体" w:cs="宋体"/>
                <w:color w:val="auto"/>
                <w:sz w:val="21"/>
                <w:szCs w:val="21"/>
                <w:lang w:val="en-US" w:eastAsia="zh-CN" w:bidi="zh-CN"/>
              </w:rPr>
              <w:t>（聚酯胎Ⅰ型）一道，遇墙上翻采用4厚APP页岩面附加防水卷材，上翻高度建筑完成面以上不小于300mm，并收于女儿墙侧壁挑口下阴角处或金属压条进行固定密封（详见节点大样）</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color w:val="auto"/>
                <w:lang w:val="en-US" w:eastAsia="zh-CN"/>
              </w:rPr>
            </w:pPr>
            <w:r>
              <w:rPr>
                <w:rFonts w:hint="eastAsia" w:ascii="宋体" w:hAnsi="宋体" w:cs="宋体"/>
                <w:color w:val="auto"/>
                <w:sz w:val="21"/>
                <w:szCs w:val="21"/>
                <w:lang w:val="en-US" w:eastAsia="zh-CN" w:bidi="zh-CN"/>
              </w:rPr>
              <w:t>5、3mm厚SBS改性沥青防水卷材（聚酯胎Ⅰ型）一道，遇墙上翻采用上翻高度建筑完成面以上不小于300mm；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kern w:val="2"/>
                <w:sz w:val="21"/>
                <w:szCs w:val="21"/>
                <w:lang w:val="en-US" w:eastAsia="zh-CN" w:bidi="zh-CN"/>
              </w:rPr>
              <w:t>6</w:t>
            </w:r>
            <w:r>
              <w:rPr>
                <w:rFonts w:hint="eastAsia" w:ascii="宋体" w:hAnsi="宋体" w:eastAsia="宋体" w:cs="宋体"/>
                <w:color w:val="auto"/>
                <w:kern w:val="2"/>
                <w:sz w:val="21"/>
                <w:szCs w:val="21"/>
                <w:lang w:val="en-US" w:eastAsia="zh-CN" w:bidi="zh-CN"/>
              </w:rPr>
              <w:t>、</w:t>
            </w:r>
            <w:r>
              <w:rPr>
                <w:rFonts w:hint="eastAsia" w:ascii="宋体" w:hAnsi="宋体" w:eastAsia="宋体" w:cs="宋体"/>
                <w:color w:val="auto"/>
                <w:sz w:val="21"/>
                <w:szCs w:val="21"/>
                <w:lang w:val="en-US" w:eastAsia="zh-CN" w:bidi="zh-CN"/>
              </w:rPr>
              <w:t>2</w:t>
            </w:r>
            <w:r>
              <w:rPr>
                <w:rFonts w:hint="eastAsia" w:ascii="宋体" w:hAnsi="宋体" w:cs="宋体"/>
                <w:color w:val="auto"/>
                <w:sz w:val="21"/>
                <w:szCs w:val="21"/>
                <w:lang w:val="en-US" w:eastAsia="zh-CN" w:bidi="zh-CN"/>
              </w:rPr>
              <w:t>.0</w:t>
            </w:r>
            <w:r>
              <w:rPr>
                <w:rFonts w:hint="eastAsia" w:ascii="宋体" w:hAnsi="宋体" w:eastAsia="宋体" w:cs="宋体"/>
                <w:color w:val="auto"/>
                <w:sz w:val="21"/>
                <w:szCs w:val="21"/>
                <w:lang w:val="en-US" w:eastAsia="zh-CN" w:bidi="zh-CN"/>
              </w:rPr>
              <w:t>厚非固化橡胶沥青防水涂料；</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7</w:t>
            </w:r>
            <w:r>
              <w:rPr>
                <w:rFonts w:hint="eastAsia" w:ascii="宋体" w:hAnsi="宋体" w:eastAsia="宋体" w:cs="宋体"/>
                <w:color w:val="auto"/>
                <w:sz w:val="21"/>
                <w:szCs w:val="21"/>
                <w:lang w:val="en-US" w:eastAsia="zh-CN" w:bidi="zh-CN"/>
              </w:rPr>
              <w:t>、20厚</w:t>
            </w:r>
            <w:r>
              <w:rPr>
                <w:rFonts w:hint="eastAsia" w:ascii="宋体" w:hAnsi="宋体" w:cs="宋体"/>
                <w:color w:val="auto"/>
                <w:sz w:val="21"/>
                <w:szCs w:val="21"/>
                <w:lang w:val="en-US" w:eastAsia="zh-CN" w:bidi="zh-CN"/>
              </w:rPr>
              <w:t>DS</w:t>
            </w:r>
            <w:r>
              <w:rPr>
                <w:rFonts w:hint="eastAsia" w:ascii="宋体" w:hAnsi="宋体" w:eastAsia="宋体" w:cs="宋体"/>
                <w:color w:val="auto"/>
                <w:sz w:val="21"/>
                <w:szCs w:val="21"/>
                <w:lang w:val="en-US" w:eastAsia="zh-CN" w:bidi="zh-CN"/>
              </w:rPr>
              <w:t>M20水泥砂浆找平层</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8</w:t>
            </w:r>
            <w:r>
              <w:rPr>
                <w:rFonts w:hint="eastAsia" w:ascii="宋体" w:hAnsi="宋体" w:eastAsia="宋体" w:cs="宋体"/>
                <w:color w:val="auto"/>
                <w:sz w:val="21"/>
                <w:szCs w:val="21"/>
                <w:lang w:val="en-US" w:eastAsia="zh-CN" w:bidi="zh-CN"/>
              </w:rPr>
              <w:t>、最薄处30厚</w:t>
            </w:r>
            <w:r>
              <w:rPr>
                <w:rFonts w:hint="eastAsia" w:ascii="宋体" w:hAnsi="宋体" w:cs="宋体"/>
                <w:color w:val="auto"/>
                <w:sz w:val="21"/>
                <w:szCs w:val="21"/>
                <w:lang w:val="en-US" w:eastAsia="zh-CN" w:bidi="zh-CN"/>
              </w:rPr>
              <w:t>发</w:t>
            </w:r>
            <w:r>
              <w:rPr>
                <w:rFonts w:hint="eastAsia" w:ascii="宋体" w:hAnsi="宋体" w:eastAsia="宋体" w:cs="宋体"/>
                <w:color w:val="auto"/>
                <w:sz w:val="21"/>
                <w:szCs w:val="21"/>
                <w:lang w:val="en-US" w:eastAsia="zh-CN" w:bidi="zh-CN"/>
              </w:rPr>
              <w:t>泡</w:t>
            </w:r>
            <w:r>
              <w:rPr>
                <w:rFonts w:hint="eastAsia" w:ascii="宋体" w:hAnsi="宋体" w:cs="宋体"/>
                <w:color w:val="auto"/>
                <w:sz w:val="21"/>
                <w:szCs w:val="21"/>
                <w:lang w:val="en-US" w:eastAsia="zh-CN" w:bidi="zh-CN"/>
              </w:rPr>
              <w:t>砼2%</w:t>
            </w:r>
            <w:r>
              <w:rPr>
                <w:rFonts w:hint="eastAsia" w:ascii="宋体" w:hAnsi="宋体" w:eastAsia="宋体" w:cs="宋体"/>
                <w:color w:val="auto"/>
                <w:sz w:val="21"/>
                <w:szCs w:val="21"/>
                <w:lang w:val="en-US" w:eastAsia="zh-CN" w:bidi="zh-CN"/>
              </w:rPr>
              <w:t>找坡</w:t>
            </w:r>
            <w:r>
              <w:rPr>
                <w:rFonts w:hint="eastAsia" w:ascii="宋体" w:hAnsi="宋体" w:cs="宋体"/>
                <w:color w:val="auto"/>
                <w:sz w:val="21"/>
                <w:szCs w:val="21"/>
                <w:lang w:val="en-US" w:eastAsia="zh-CN" w:bidi="zh-CN"/>
              </w:rPr>
              <w:t>（随捣随抹平）。（结构找坡无此层）</w:t>
            </w:r>
            <w:r>
              <w:rPr>
                <w:rFonts w:hint="eastAsia" w:ascii="宋体" w:hAnsi="宋体" w:eastAsia="宋体" w:cs="宋体"/>
                <w:color w:val="auto"/>
                <w:sz w:val="21"/>
                <w:szCs w:val="21"/>
                <w:lang w:val="en-US" w:eastAsia="zh-CN" w:bidi="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eastAsia" w:ascii="宋体" w:hAnsi="宋体" w:eastAsia="宋体" w:cs="宋体"/>
                <w:kern w:val="2"/>
                <w:sz w:val="21"/>
                <w:szCs w:val="21"/>
                <w:lang w:val="en-US" w:eastAsia="zh-CN" w:bidi="zh-CN"/>
              </w:rPr>
            </w:pPr>
            <w:r>
              <w:rPr>
                <w:rFonts w:hint="eastAsia" w:ascii="宋体" w:hAnsi="宋体" w:cs="宋体"/>
                <w:color w:val="auto"/>
                <w:sz w:val="21"/>
                <w:szCs w:val="21"/>
                <w:lang w:val="en-US" w:eastAsia="zh-CN" w:bidi="zh-CN"/>
              </w:rPr>
              <w:t>9</w:t>
            </w:r>
            <w:r>
              <w:rPr>
                <w:rFonts w:hint="eastAsia" w:ascii="宋体" w:hAnsi="宋体" w:eastAsia="宋体" w:cs="宋体"/>
                <w:color w:val="auto"/>
                <w:sz w:val="21"/>
                <w:szCs w:val="21"/>
                <w:lang w:val="en-US" w:eastAsia="zh-CN" w:bidi="zh-CN"/>
              </w:rPr>
              <w:t>、现浇</w:t>
            </w:r>
            <w:r>
              <w:rPr>
                <w:rFonts w:hint="eastAsia" w:ascii="宋体" w:hAnsi="宋体" w:cs="宋体"/>
                <w:color w:val="auto"/>
                <w:sz w:val="21"/>
                <w:szCs w:val="21"/>
                <w:lang w:val="en-US" w:eastAsia="zh-CN" w:bidi="zh-CN"/>
              </w:rPr>
              <w:t>屋面板清理后纯水泥浆掺防水剂清扫填毛细缝</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sz w:val="21"/>
                <w:szCs w:val="21"/>
                <w:lang w:val="en-US" w:eastAsia="zh-CN" w:bidi="zh-CN"/>
              </w:rPr>
            </w:pPr>
            <w:r>
              <w:rPr>
                <w:rFonts w:hint="eastAsia" w:ascii="宋体" w:hAnsi="宋体" w:eastAsia="宋体" w:cs="宋体"/>
                <w:b/>
                <w:bCs/>
                <w:sz w:val="21"/>
                <w:szCs w:val="21"/>
                <w:lang w:val="en-US" w:eastAsia="zh-CN" w:bidi="zh-CN"/>
              </w:rPr>
              <w:t>屋面2：</w:t>
            </w:r>
            <w:r>
              <w:rPr>
                <w:rFonts w:hint="eastAsia" w:ascii="宋体" w:hAnsi="宋体" w:cs="宋体"/>
                <w:b/>
                <w:bCs/>
                <w:sz w:val="21"/>
                <w:szCs w:val="21"/>
                <w:lang w:val="en-US" w:eastAsia="zh-CN" w:bidi="zh-CN"/>
              </w:rPr>
              <w:t>非上人非保温平屋面（露台屋面无保温）</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1、</w:t>
            </w:r>
            <w:r>
              <w:rPr>
                <w:rFonts w:hint="eastAsia" w:ascii="宋体" w:hAnsi="宋体" w:eastAsia="宋体" w:cs="宋体"/>
                <w:color w:val="auto"/>
                <w:sz w:val="21"/>
                <w:szCs w:val="21"/>
                <w:lang w:val="en-US" w:eastAsia="zh-CN" w:bidi="zh-CN"/>
              </w:rPr>
              <w:t>50厚C2</w:t>
            </w:r>
            <w:r>
              <w:rPr>
                <w:rFonts w:hint="eastAsia" w:ascii="宋体" w:hAnsi="宋体" w:cs="宋体"/>
                <w:color w:val="auto"/>
                <w:sz w:val="21"/>
                <w:szCs w:val="21"/>
                <w:lang w:val="en-US" w:eastAsia="zh-CN" w:bidi="zh-CN"/>
              </w:rPr>
              <w:t>5</w:t>
            </w:r>
            <w:r>
              <w:rPr>
                <w:rFonts w:hint="eastAsia" w:ascii="宋体" w:hAnsi="宋体" w:eastAsia="宋体" w:cs="宋体"/>
                <w:color w:val="auto"/>
                <w:sz w:val="21"/>
                <w:szCs w:val="21"/>
                <w:lang w:val="en-US" w:eastAsia="zh-CN" w:bidi="zh-CN"/>
              </w:rPr>
              <w:t>细石混凝土</w:t>
            </w:r>
            <w:r>
              <w:rPr>
                <w:rFonts w:hint="eastAsia" w:ascii="宋体" w:hAnsi="宋体" w:cs="宋体"/>
                <w:color w:val="auto"/>
                <w:sz w:val="21"/>
                <w:szCs w:val="21"/>
                <w:lang w:val="en-US" w:eastAsia="zh-CN" w:bidi="zh-CN"/>
              </w:rPr>
              <w:t>刚性保护层</w:t>
            </w:r>
            <w:r>
              <w:rPr>
                <w:rFonts w:hint="eastAsia" w:ascii="宋体" w:hAnsi="宋体" w:eastAsia="宋体" w:cs="宋体"/>
                <w:color w:val="auto"/>
                <w:sz w:val="21"/>
                <w:szCs w:val="21"/>
                <w:lang w:val="en-US" w:eastAsia="zh-CN" w:bidi="zh-CN"/>
              </w:rPr>
              <w:t>∅6@</w:t>
            </w:r>
            <w:r>
              <w:rPr>
                <w:rFonts w:hint="eastAsia" w:ascii="宋体" w:hAnsi="宋体" w:cs="宋体"/>
                <w:color w:val="auto"/>
                <w:sz w:val="21"/>
                <w:szCs w:val="21"/>
                <w:lang w:val="en-US" w:eastAsia="zh-CN" w:bidi="zh-CN"/>
              </w:rPr>
              <w:t>15</w:t>
            </w:r>
            <w:r>
              <w:rPr>
                <w:rFonts w:hint="eastAsia" w:ascii="宋体" w:hAnsi="宋体" w:eastAsia="宋体" w:cs="宋体"/>
                <w:color w:val="auto"/>
                <w:sz w:val="21"/>
                <w:szCs w:val="21"/>
                <w:lang w:val="en-US" w:eastAsia="zh-CN" w:bidi="zh-CN"/>
              </w:rPr>
              <w:t>0</w:t>
            </w:r>
            <w:r>
              <w:rPr>
                <w:rFonts w:hint="eastAsia" w:ascii="宋体" w:hAnsi="宋体" w:cs="宋体"/>
                <w:color w:val="auto"/>
                <w:sz w:val="21"/>
                <w:szCs w:val="21"/>
                <w:lang w:val="en-US" w:eastAsia="zh-CN" w:bidi="zh-CN"/>
              </w:rPr>
              <w:t>单层</w:t>
            </w:r>
            <w:r>
              <w:rPr>
                <w:rFonts w:hint="eastAsia" w:ascii="宋体" w:hAnsi="宋体" w:eastAsia="宋体" w:cs="宋体"/>
                <w:color w:val="auto"/>
                <w:sz w:val="21"/>
                <w:szCs w:val="21"/>
                <w:lang w:val="en-US" w:eastAsia="zh-CN" w:bidi="zh-CN"/>
              </w:rPr>
              <w:t>双向钢筋网片，</w:t>
            </w:r>
            <w:r>
              <w:rPr>
                <w:rFonts w:hint="eastAsia" w:ascii="宋体" w:hAnsi="宋体" w:cs="宋体"/>
                <w:color w:val="auto"/>
                <w:sz w:val="21"/>
                <w:szCs w:val="21"/>
                <w:lang w:val="en-US" w:eastAsia="zh-CN" w:bidi="zh-CN"/>
              </w:rPr>
              <w:t>设</w:t>
            </w:r>
            <w:r>
              <w:rPr>
                <w:rFonts w:hint="eastAsia" w:ascii="宋体" w:hAnsi="宋体" w:eastAsia="宋体" w:cs="宋体"/>
                <w:color w:val="auto"/>
                <w:sz w:val="21"/>
                <w:szCs w:val="21"/>
                <w:lang w:val="en-US" w:eastAsia="zh-CN" w:bidi="zh-CN"/>
              </w:rPr>
              <w:t>分仓缝</w:t>
            </w:r>
            <w:r>
              <w:rPr>
                <w:rFonts w:hint="eastAsia" w:ascii="宋体" w:hAnsi="宋体" w:cs="宋体"/>
                <w:color w:val="auto"/>
                <w:sz w:val="21"/>
                <w:szCs w:val="21"/>
                <w:lang w:val="en-US" w:eastAsia="zh-CN" w:bidi="zh-CN"/>
              </w:rPr>
              <w:t>间距不大于6m，缝宽20mm，建筑油膏填缝密实</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2、</w:t>
            </w:r>
            <w:r>
              <w:rPr>
                <w:rFonts w:hint="eastAsia" w:ascii="宋体" w:hAnsi="宋体" w:cs="宋体"/>
                <w:color w:val="auto"/>
                <w:sz w:val="21"/>
                <w:szCs w:val="21"/>
                <w:lang w:val="en-US" w:eastAsia="zh-CN" w:bidi="zh-CN"/>
              </w:rPr>
              <w:t>无纺布隔离层</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eastAsia" w:ascii="宋体" w:hAnsi="宋体" w:eastAsia="宋体" w:cs="宋体"/>
                <w:color w:val="auto"/>
                <w:sz w:val="21"/>
                <w:szCs w:val="21"/>
                <w:lang w:val="en-US" w:eastAsia="zh-CN" w:bidi="zh-CN"/>
              </w:rPr>
              <w:t>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厚SBS改性沥青防水卷材</w:t>
            </w:r>
            <w:r>
              <w:rPr>
                <w:rFonts w:hint="eastAsia" w:ascii="宋体" w:hAnsi="宋体" w:cs="宋体"/>
                <w:color w:val="auto"/>
                <w:sz w:val="21"/>
                <w:szCs w:val="21"/>
                <w:lang w:val="en-US" w:eastAsia="zh-CN" w:bidi="zh-CN"/>
              </w:rPr>
              <w:t>（聚酯胎Ⅰ型）一道，遇墙上翻采用4厚APP页岩面附加防水卷材，上翻高度建筑完成面以上不小于300mm，并收于女儿墙侧壁挑口下阴角处或金属压条进行固定密封（详见节点大样）</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color w:val="auto"/>
                <w:lang w:val="en-US" w:eastAsia="zh-CN"/>
              </w:rPr>
            </w:pPr>
            <w:r>
              <w:rPr>
                <w:rFonts w:hint="eastAsia" w:ascii="宋体" w:hAnsi="宋体" w:cs="宋体"/>
                <w:color w:val="auto"/>
                <w:sz w:val="21"/>
                <w:szCs w:val="21"/>
                <w:lang w:val="en-US" w:eastAsia="zh-CN" w:bidi="zh-CN"/>
              </w:rPr>
              <w:t>4、3mm厚SBS改性沥青防水卷材（聚酯胎Ⅰ型）一道，遇墙上翻采用上翻高度建筑完成面以上不小于300mm；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kern w:val="2"/>
                <w:sz w:val="21"/>
                <w:szCs w:val="21"/>
                <w:lang w:val="en-US" w:eastAsia="zh-CN" w:bidi="zh-CN"/>
              </w:rPr>
              <w:t>5</w:t>
            </w:r>
            <w:r>
              <w:rPr>
                <w:rFonts w:hint="eastAsia" w:ascii="宋体" w:hAnsi="宋体" w:eastAsia="宋体" w:cs="宋体"/>
                <w:color w:val="auto"/>
                <w:kern w:val="2"/>
                <w:sz w:val="21"/>
                <w:szCs w:val="21"/>
                <w:lang w:val="en-US" w:eastAsia="zh-CN" w:bidi="zh-CN"/>
              </w:rPr>
              <w:t>、</w:t>
            </w:r>
            <w:r>
              <w:rPr>
                <w:rFonts w:hint="eastAsia" w:ascii="宋体" w:hAnsi="宋体" w:eastAsia="宋体" w:cs="宋体"/>
                <w:color w:val="auto"/>
                <w:sz w:val="21"/>
                <w:szCs w:val="21"/>
                <w:lang w:val="en-US" w:eastAsia="zh-CN" w:bidi="zh-CN"/>
              </w:rPr>
              <w:t>2</w:t>
            </w:r>
            <w:r>
              <w:rPr>
                <w:rFonts w:hint="eastAsia" w:ascii="宋体" w:hAnsi="宋体" w:cs="宋体"/>
                <w:color w:val="auto"/>
                <w:sz w:val="21"/>
                <w:szCs w:val="21"/>
                <w:lang w:val="en-US" w:eastAsia="zh-CN" w:bidi="zh-CN"/>
              </w:rPr>
              <w:t>.0</w:t>
            </w:r>
            <w:r>
              <w:rPr>
                <w:rFonts w:hint="eastAsia" w:ascii="宋体" w:hAnsi="宋体" w:eastAsia="宋体" w:cs="宋体"/>
                <w:color w:val="auto"/>
                <w:sz w:val="21"/>
                <w:szCs w:val="21"/>
                <w:lang w:val="en-US" w:eastAsia="zh-CN" w:bidi="zh-CN"/>
              </w:rPr>
              <w:t>厚非固化橡胶沥青防水涂料；</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6</w:t>
            </w:r>
            <w:r>
              <w:rPr>
                <w:rFonts w:hint="eastAsia" w:ascii="宋体" w:hAnsi="宋体" w:eastAsia="宋体" w:cs="宋体"/>
                <w:color w:val="auto"/>
                <w:sz w:val="21"/>
                <w:szCs w:val="21"/>
                <w:lang w:val="en-US" w:eastAsia="zh-CN" w:bidi="zh-CN"/>
              </w:rPr>
              <w:t>、20厚</w:t>
            </w:r>
            <w:r>
              <w:rPr>
                <w:rFonts w:hint="eastAsia" w:ascii="宋体" w:hAnsi="宋体" w:cs="宋体"/>
                <w:color w:val="auto"/>
                <w:sz w:val="21"/>
                <w:szCs w:val="21"/>
                <w:lang w:val="en-US" w:eastAsia="zh-CN" w:bidi="zh-CN"/>
              </w:rPr>
              <w:t>DS</w:t>
            </w:r>
            <w:r>
              <w:rPr>
                <w:rFonts w:hint="eastAsia" w:ascii="宋体" w:hAnsi="宋体" w:eastAsia="宋体" w:cs="宋体"/>
                <w:color w:val="auto"/>
                <w:sz w:val="21"/>
                <w:szCs w:val="21"/>
                <w:lang w:val="en-US" w:eastAsia="zh-CN" w:bidi="zh-CN"/>
              </w:rPr>
              <w:t>M20水泥砂浆找平层</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7</w:t>
            </w:r>
            <w:r>
              <w:rPr>
                <w:rFonts w:hint="eastAsia" w:ascii="宋体" w:hAnsi="宋体" w:eastAsia="宋体" w:cs="宋体"/>
                <w:color w:val="auto"/>
                <w:sz w:val="21"/>
                <w:szCs w:val="21"/>
                <w:lang w:val="en-US" w:eastAsia="zh-CN" w:bidi="zh-CN"/>
              </w:rPr>
              <w:t>、最薄处30厚</w:t>
            </w:r>
            <w:r>
              <w:rPr>
                <w:rFonts w:hint="eastAsia" w:ascii="宋体" w:hAnsi="宋体" w:cs="宋体"/>
                <w:color w:val="auto"/>
                <w:sz w:val="21"/>
                <w:szCs w:val="21"/>
                <w:lang w:val="en-US" w:eastAsia="zh-CN" w:bidi="zh-CN"/>
              </w:rPr>
              <w:t>发</w:t>
            </w:r>
            <w:r>
              <w:rPr>
                <w:rFonts w:hint="eastAsia" w:ascii="宋体" w:hAnsi="宋体" w:eastAsia="宋体" w:cs="宋体"/>
                <w:color w:val="auto"/>
                <w:sz w:val="21"/>
                <w:szCs w:val="21"/>
                <w:lang w:val="en-US" w:eastAsia="zh-CN" w:bidi="zh-CN"/>
              </w:rPr>
              <w:t>泡</w:t>
            </w:r>
            <w:r>
              <w:rPr>
                <w:rFonts w:hint="eastAsia" w:ascii="宋体" w:hAnsi="宋体" w:cs="宋体"/>
                <w:color w:val="auto"/>
                <w:sz w:val="21"/>
                <w:szCs w:val="21"/>
                <w:lang w:val="en-US" w:eastAsia="zh-CN" w:bidi="zh-CN"/>
              </w:rPr>
              <w:t>砼2%</w:t>
            </w:r>
            <w:r>
              <w:rPr>
                <w:rFonts w:hint="eastAsia" w:ascii="宋体" w:hAnsi="宋体" w:eastAsia="宋体" w:cs="宋体"/>
                <w:color w:val="auto"/>
                <w:sz w:val="21"/>
                <w:szCs w:val="21"/>
                <w:lang w:val="en-US" w:eastAsia="zh-CN" w:bidi="zh-CN"/>
              </w:rPr>
              <w:t>找坡</w:t>
            </w:r>
            <w:r>
              <w:rPr>
                <w:rFonts w:hint="eastAsia" w:ascii="宋体" w:hAnsi="宋体" w:cs="宋体"/>
                <w:color w:val="auto"/>
                <w:sz w:val="21"/>
                <w:szCs w:val="21"/>
                <w:lang w:val="en-US" w:eastAsia="zh-CN" w:bidi="zh-CN"/>
              </w:rPr>
              <w:t>（随捣随抹平）。（结构找坡无此层）</w:t>
            </w:r>
            <w:r>
              <w:rPr>
                <w:rFonts w:hint="eastAsia" w:ascii="宋体" w:hAnsi="宋体" w:eastAsia="宋体" w:cs="宋体"/>
                <w:color w:val="auto"/>
                <w:sz w:val="21"/>
                <w:szCs w:val="21"/>
                <w:lang w:val="en-US" w:eastAsia="zh-CN" w:bidi="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eastAsia" w:ascii="宋体" w:hAnsi="宋体" w:eastAsia="宋体" w:cs="宋体"/>
                <w:kern w:val="2"/>
                <w:sz w:val="21"/>
                <w:szCs w:val="21"/>
                <w:lang w:val="en-US" w:eastAsia="zh-CN" w:bidi="zh-CN"/>
              </w:rPr>
            </w:pPr>
            <w:r>
              <w:rPr>
                <w:rFonts w:hint="eastAsia" w:ascii="宋体" w:hAnsi="宋体" w:cs="宋体"/>
                <w:color w:val="auto"/>
                <w:sz w:val="21"/>
                <w:szCs w:val="21"/>
                <w:lang w:val="en-US" w:eastAsia="zh-CN" w:bidi="zh-CN"/>
              </w:rPr>
              <w:t>8</w:t>
            </w:r>
            <w:r>
              <w:rPr>
                <w:rFonts w:hint="eastAsia" w:ascii="宋体" w:hAnsi="宋体" w:eastAsia="宋体" w:cs="宋体"/>
                <w:color w:val="auto"/>
                <w:sz w:val="21"/>
                <w:szCs w:val="21"/>
                <w:lang w:val="en-US" w:eastAsia="zh-CN" w:bidi="zh-CN"/>
              </w:rPr>
              <w:t>、现浇</w:t>
            </w:r>
            <w:r>
              <w:rPr>
                <w:rFonts w:hint="eastAsia" w:ascii="宋体" w:hAnsi="宋体" w:cs="宋体"/>
                <w:color w:val="auto"/>
                <w:sz w:val="21"/>
                <w:szCs w:val="21"/>
                <w:lang w:val="en-US" w:eastAsia="zh-CN" w:bidi="zh-CN"/>
              </w:rPr>
              <w:t>屋面板清理后纯水泥浆掺防水剂清扫填毛细缝</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eastAsia="宋体" w:cs="宋体"/>
                <w:b/>
                <w:bCs/>
                <w:sz w:val="21"/>
                <w:szCs w:val="21"/>
                <w:lang w:val="en-US" w:eastAsia="zh-CN" w:bidi="zh-CN"/>
              </w:rPr>
              <w:t>屋面3：</w:t>
            </w:r>
            <w:r>
              <w:rPr>
                <w:rFonts w:hint="eastAsia" w:ascii="宋体" w:hAnsi="宋体" w:cs="宋体"/>
                <w:b/>
                <w:bCs/>
                <w:sz w:val="21"/>
                <w:szCs w:val="21"/>
                <w:lang w:val="en-US" w:eastAsia="zh-CN" w:bidi="zh-CN"/>
              </w:rPr>
              <w:t>正置式保温上人种植平屋面</w:t>
            </w:r>
          </w:p>
          <w:p>
            <w:pPr>
              <w:keepNext w:val="0"/>
              <w:keepLines w:val="0"/>
              <w:suppressLineNumbers w:val="0"/>
              <w:spacing w:before="0" w:beforeAutospacing="0" w:after="0" w:afterAutospacing="0"/>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1、植被层：地被式屋顶绿化</w:t>
            </w:r>
          </w:p>
          <w:p>
            <w:pPr>
              <w:keepNext w:val="0"/>
              <w:keepLines w:val="0"/>
              <w:suppressLineNumbers w:val="0"/>
              <w:spacing w:before="0" w:beforeAutospacing="0" w:after="0" w:afterAutospacing="0"/>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2、覆土层：300厚种植土</w:t>
            </w:r>
          </w:p>
          <w:p>
            <w:pPr>
              <w:keepNext w:val="0"/>
              <w:keepLines w:val="0"/>
              <w:suppressLineNumbers w:val="0"/>
              <w:spacing w:before="0" w:beforeAutospacing="0" w:after="0" w:afterAutospacing="0"/>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3、滤水层：土工布过滤层</w:t>
            </w:r>
          </w:p>
          <w:p>
            <w:pPr>
              <w:keepNext w:val="0"/>
              <w:keepLines w:val="0"/>
              <w:suppressLineNumbers w:val="0"/>
              <w:spacing w:before="0" w:beforeAutospacing="0" w:after="0" w:afterAutospacing="0"/>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4、排水层：100厚陶粒</w:t>
            </w:r>
          </w:p>
          <w:p>
            <w:pPr>
              <w:keepNext w:val="0"/>
              <w:keepLines w:val="0"/>
              <w:suppressLineNumbers w:val="0"/>
              <w:spacing w:before="0" w:beforeAutospacing="0" w:after="0" w:afterAutospacing="0"/>
              <w:ind w:left="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5、刚性层：50厚C25细石混凝土刚性保护层∅6@150单层双向钢筋网片，设分仓缝间距不大于6m，缝宽20mm，建筑油膏填缝密实；上盖300宽2厚SBS单面自粘性防水卷材</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6、隔离层：</w:t>
            </w:r>
            <w:r>
              <w:rPr>
                <w:rFonts w:hint="eastAsia" w:ascii="宋体" w:hAnsi="宋体" w:cs="宋体"/>
                <w:color w:val="auto"/>
                <w:sz w:val="21"/>
                <w:szCs w:val="21"/>
                <w:lang w:val="en-US" w:eastAsia="zh-CN" w:bidi="zh-CN"/>
              </w:rPr>
              <w:t>无纺布隔离层（200g/m</w:t>
            </w:r>
            <w:r>
              <w:rPr>
                <w:rFonts w:hint="eastAsia" w:ascii="宋体" w:hAnsi="宋体" w:cs="宋体"/>
                <w:color w:val="auto"/>
                <w:sz w:val="21"/>
                <w:szCs w:val="21"/>
                <w:vertAlign w:val="superscript"/>
                <w:lang w:val="en-US" w:eastAsia="zh-CN" w:bidi="zh-CN"/>
              </w:rPr>
              <w:t>2</w:t>
            </w:r>
            <w:r>
              <w:rPr>
                <w:rFonts w:hint="eastAsia" w:ascii="宋体" w:hAnsi="宋体" w:cs="宋体"/>
                <w:color w:val="auto"/>
                <w:sz w:val="21"/>
                <w:szCs w:val="21"/>
                <w:lang w:val="en-US" w:eastAsia="zh-CN" w:bidi="zh-CN"/>
              </w:rPr>
              <w:t>）</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eastAsia="宋体" w:cs="宋体"/>
                <w:color w:val="auto"/>
                <w:sz w:val="21"/>
                <w:szCs w:val="21"/>
                <w:lang w:val="en-US" w:eastAsia="zh-CN" w:bidi="zh-CN"/>
              </w:rPr>
              <w:t>7、耐根穿刺层：4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厚SBS改性沥青耐根穿刺防水卷材</w:t>
            </w:r>
            <w:r>
              <w:rPr>
                <w:rFonts w:hint="eastAsia" w:ascii="宋体" w:hAnsi="宋体" w:cs="宋体"/>
                <w:color w:val="auto"/>
                <w:sz w:val="21"/>
                <w:szCs w:val="21"/>
                <w:lang w:val="en-US" w:eastAsia="zh-CN" w:bidi="zh-CN"/>
              </w:rPr>
              <w:t>（聚酯胎化学阻根）</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kern w:val="2"/>
                <w:sz w:val="21"/>
                <w:szCs w:val="21"/>
                <w:lang w:val="en-US" w:eastAsia="zh-CN" w:bidi="zh-CN"/>
              </w:rPr>
              <w:t>8</w:t>
            </w:r>
            <w:r>
              <w:rPr>
                <w:rFonts w:hint="eastAsia" w:ascii="宋体" w:hAnsi="宋体" w:eastAsia="宋体" w:cs="宋体"/>
                <w:color w:val="auto"/>
                <w:kern w:val="2"/>
                <w:sz w:val="21"/>
                <w:szCs w:val="21"/>
                <w:lang w:val="en-US" w:eastAsia="zh-CN" w:bidi="zh-CN"/>
              </w:rPr>
              <w:t>、</w:t>
            </w:r>
            <w:r>
              <w:rPr>
                <w:rFonts w:hint="eastAsia" w:ascii="宋体" w:hAnsi="宋体" w:eastAsia="宋体" w:cs="宋体"/>
                <w:color w:val="auto"/>
                <w:sz w:val="21"/>
                <w:szCs w:val="21"/>
                <w:lang w:val="en-US" w:eastAsia="zh-CN" w:bidi="zh-CN"/>
              </w:rPr>
              <w:t>4</w:t>
            </w:r>
            <w:r>
              <w:rPr>
                <w:rFonts w:hint="eastAsia" w:ascii="宋体" w:hAnsi="宋体" w:cs="宋体"/>
                <w:color w:val="auto"/>
                <w:sz w:val="21"/>
                <w:szCs w:val="21"/>
                <w:lang w:val="en-US" w:eastAsia="zh-CN" w:bidi="zh-CN"/>
              </w:rPr>
              <w:t>mm</w:t>
            </w:r>
            <w:r>
              <w:rPr>
                <w:rFonts w:hint="eastAsia" w:ascii="宋体" w:hAnsi="宋体" w:eastAsia="宋体" w:cs="宋体"/>
                <w:color w:val="auto"/>
                <w:sz w:val="21"/>
                <w:szCs w:val="21"/>
                <w:lang w:val="en-US" w:eastAsia="zh-CN" w:bidi="zh-CN"/>
              </w:rPr>
              <w:t>厚SBS改性沥青防水卷材</w:t>
            </w:r>
            <w:r>
              <w:rPr>
                <w:rFonts w:hint="eastAsia" w:ascii="宋体" w:hAnsi="宋体" w:cs="宋体"/>
                <w:color w:val="auto"/>
                <w:sz w:val="21"/>
                <w:szCs w:val="21"/>
                <w:lang w:val="en-US" w:eastAsia="zh-CN" w:bidi="zh-CN"/>
              </w:rPr>
              <w:t>（聚酯胎Ⅰ型）一道，遇墙上翻采用4厚APP页岩面附加防水卷材，上翻高度建筑完成面以上不小于300mm，并收于女儿墙侧壁挑口下阴角处或金属压条进行固定密封（详见节点大样）</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eastAsia" w:ascii="宋体" w:hAnsi="宋体" w:cs="宋体"/>
                <w:color w:val="auto"/>
                <w:sz w:val="21"/>
                <w:szCs w:val="21"/>
                <w:lang w:val="en-US" w:eastAsia="zh-CN" w:bidi="zh-CN"/>
              </w:rPr>
            </w:pPr>
            <w:r>
              <w:rPr>
                <w:rFonts w:hint="eastAsia" w:ascii="宋体" w:hAnsi="宋体" w:cs="宋体"/>
                <w:color w:val="auto"/>
                <w:sz w:val="21"/>
                <w:szCs w:val="21"/>
                <w:lang w:val="en-US" w:eastAsia="zh-CN" w:bidi="zh-CN"/>
              </w:rPr>
              <w:t>9、3mm厚SBS改性沥青防水卷材（聚酯胎Ⅰ型）一道，遇墙上翻采用上翻高度建筑完成面以上不小于300mm；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lang w:val="en-US" w:eastAsia="zh-CN"/>
              </w:rPr>
            </w:pPr>
            <w:r>
              <w:rPr>
                <w:rFonts w:hint="eastAsia" w:ascii="宋体" w:hAnsi="宋体" w:eastAsia="宋体" w:cs="宋体"/>
                <w:color w:val="auto"/>
                <w:kern w:val="2"/>
                <w:sz w:val="21"/>
                <w:szCs w:val="21"/>
                <w:lang w:val="en-US" w:eastAsia="zh-CN" w:bidi="zh-CN"/>
              </w:rPr>
              <w:t>10、</w:t>
            </w:r>
            <w:r>
              <w:rPr>
                <w:rFonts w:hint="eastAsia" w:ascii="宋体" w:hAnsi="宋体" w:cs="宋体"/>
                <w:color w:val="auto"/>
                <w:sz w:val="21"/>
                <w:szCs w:val="21"/>
                <w:lang w:val="en-US" w:eastAsia="zh-CN" w:bidi="zh-CN"/>
              </w:rPr>
              <w:t>B1级</w:t>
            </w:r>
            <w:r>
              <w:rPr>
                <w:rFonts w:hint="eastAsia" w:ascii="宋体" w:hAnsi="宋体" w:eastAsia="宋体" w:cs="宋体"/>
                <w:color w:val="auto"/>
                <w:sz w:val="21"/>
                <w:szCs w:val="21"/>
                <w:lang w:val="en-US" w:eastAsia="zh-CN" w:bidi="zh-CN"/>
              </w:rPr>
              <w:t>挤塑聚苯板</w:t>
            </w:r>
            <w:r>
              <w:rPr>
                <w:rFonts w:hint="eastAsia" w:ascii="宋体" w:hAnsi="宋体" w:cs="宋体"/>
                <w:color w:val="auto"/>
                <w:sz w:val="21"/>
                <w:szCs w:val="21"/>
                <w:lang w:val="en-US" w:eastAsia="zh-CN" w:bidi="zh-CN"/>
              </w:rPr>
              <w:t>保温层 1#门卫、4#楼 170厚；2#厂房、3#厂房为40厚</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kern w:val="2"/>
                <w:sz w:val="21"/>
                <w:szCs w:val="21"/>
                <w:lang w:val="en-US" w:eastAsia="zh-CN" w:bidi="zh-CN"/>
              </w:rPr>
              <w:t>11</w:t>
            </w:r>
            <w:r>
              <w:rPr>
                <w:rFonts w:hint="eastAsia" w:ascii="宋体" w:hAnsi="宋体" w:eastAsia="宋体" w:cs="宋体"/>
                <w:color w:val="auto"/>
                <w:kern w:val="2"/>
                <w:sz w:val="21"/>
                <w:szCs w:val="21"/>
                <w:lang w:val="en-US" w:eastAsia="zh-CN" w:bidi="zh-CN"/>
              </w:rPr>
              <w:t>、防水层：</w:t>
            </w:r>
            <w:r>
              <w:rPr>
                <w:rFonts w:hint="eastAsia" w:ascii="宋体" w:hAnsi="宋体" w:eastAsia="宋体" w:cs="宋体"/>
                <w:color w:val="auto"/>
                <w:sz w:val="21"/>
                <w:szCs w:val="21"/>
                <w:lang w:val="en-US" w:eastAsia="zh-CN" w:bidi="zh-CN"/>
              </w:rPr>
              <w:t>2</w:t>
            </w:r>
            <w:r>
              <w:rPr>
                <w:rFonts w:hint="eastAsia" w:ascii="宋体" w:hAnsi="宋体" w:cs="宋体"/>
                <w:color w:val="auto"/>
                <w:sz w:val="21"/>
                <w:szCs w:val="21"/>
                <w:lang w:val="en-US" w:eastAsia="zh-CN" w:bidi="zh-CN"/>
              </w:rPr>
              <w:t>.0</w:t>
            </w:r>
            <w:r>
              <w:rPr>
                <w:rFonts w:hint="eastAsia" w:ascii="宋体" w:hAnsi="宋体" w:eastAsia="宋体" w:cs="宋体"/>
                <w:color w:val="auto"/>
                <w:sz w:val="21"/>
                <w:szCs w:val="21"/>
                <w:lang w:val="en-US" w:eastAsia="zh-CN" w:bidi="zh-CN"/>
              </w:rPr>
              <w:t>厚非固化橡胶沥青防水涂料；</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12</w:t>
            </w:r>
            <w:r>
              <w:rPr>
                <w:rFonts w:hint="eastAsia" w:ascii="宋体" w:hAnsi="宋体" w:eastAsia="宋体" w:cs="宋体"/>
                <w:color w:val="auto"/>
                <w:sz w:val="21"/>
                <w:szCs w:val="21"/>
                <w:lang w:val="en-US" w:eastAsia="zh-CN" w:bidi="zh-CN"/>
              </w:rPr>
              <w:t>、找平层：20厚</w:t>
            </w:r>
            <w:r>
              <w:rPr>
                <w:rFonts w:hint="eastAsia" w:ascii="宋体" w:hAnsi="宋体" w:cs="宋体"/>
                <w:color w:val="auto"/>
                <w:sz w:val="21"/>
                <w:szCs w:val="21"/>
                <w:lang w:val="en-US" w:eastAsia="zh-CN" w:bidi="zh-CN"/>
              </w:rPr>
              <w:t>DS</w:t>
            </w:r>
            <w:r>
              <w:rPr>
                <w:rFonts w:hint="eastAsia" w:ascii="宋体" w:hAnsi="宋体" w:eastAsia="宋体" w:cs="宋体"/>
                <w:color w:val="auto"/>
                <w:sz w:val="21"/>
                <w:szCs w:val="21"/>
                <w:lang w:val="en-US" w:eastAsia="zh-CN" w:bidi="zh-CN"/>
              </w:rPr>
              <w:t>M20水泥砂浆保护层</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13、找坡层：最薄处30厚</w:t>
            </w:r>
            <w:r>
              <w:rPr>
                <w:rFonts w:hint="eastAsia" w:ascii="宋体" w:hAnsi="宋体" w:cs="宋体"/>
                <w:color w:val="auto"/>
                <w:sz w:val="21"/>
                <w:szCs w:val="21"/>
                <w:lang w:val="en-US" w:eastAsia="zh-CN" w:bidi="zh-CN"/>
              </w:rPr>
              <w:t>发</w:t>
            </w:r>
            <w:r>
              <w:rPr>
                <w:rFonts w:hint="eastAsia" w:ascii="宋体" w:hAnsi="宋体" w:eastAsia="宋体" w:cs="宋体"/>
                <w:color w:val="auto"/>
                <w:sz w:val="21"/>
                <w:szCs w:val="21"/>
                <w:lang w:val="en-US" w:eastAsia="zh-CN" w:bidi="zh-CN"/>
              </w:rPr>
              <w:t>泡</w:t>
            </w:r>
            <w:r>
              <w:rPr>
                <w:rFonts w:hint="eastAsia" w:ascii="宋体" w:hAnsi="宋体" w:cs="宋体"/>
                <w:color w:val="auto"/>
                <w:sz w:val="21"/>
                <w:szCs w:val="21"/>
                <w:lang w:val="en-US" w:eastAsia="zh-CN" w:bidi="zh-CN"/>
              </w:rPr>
              <w:t>砼2%</w:t>
            </w:r>
            <w:r>
              <w:rPr>
                <w:rFonts w:hint="eastAsia" w:ascii="宋体" w:hAnsi="宋体" w:eastAsia="宋体" w:cs="宋体"/>
                <w:color w:val="auto"/>
                <w:sz w:val="21"/>
                <w:szCs w:val="21"/>
                <w:lang w:val="en-US" w:eastAsia="zh-CN" w:bidi="zh-CN"/>
              </w:rPr>
              <w:t>找坡</w:t>
            </w:r>
            <w:r>
              <w:rPr>
                <w:rFonts w:hint="eastAsia" w:ascii="宋体" w:hAnsi="宋体" w:cs="宋体"/>
                <w:color w:val="auto"/>
                <w:sz w:val="21"/>
                <w:szCs w:val="21"/>
                <w:lang w:val="en-US" w:eastAsia="zh-CN" w:bidi="zh-CN"/>
              </w:rPr>
              <w:t>（随捣随抹平）。（结构找坡无此层）</w:t>
            </w:r>
            <w:r>
              <w:rPr>
                <w:rFonts w:hint="eastAsia" w:ascii="宋体" w:hAnsi="宋体" w:eastAsia="宋体" w:cs="宋体"/>
                <w:color w:val="auto"/>
                <w:sz w:val="21"/>
                <w:szCs w:val="21"/>
                <w:lang w:val="en-US" w:eastAsia="zh-CN" w:bidi="zh-CN"/>
              </w:rPr>
              <w:t>；</w:t>
            </w:r>
          </w:p>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sz w:val="21"/>
                <w:szCs w:val="21"/>
                <w:lang w:val="en-US" w:eastAsia="zh-CN"/>
              </w:rPr>
            </w:pPr>
            <w:r>
              <w:rPr>
                <w:rFonts w:hint="eastAsia" w:ascii="宋体" w:hAnsi="宋体" w:cs="宋体"/>
                <w:color w:val="auto"/>
                <w:sz w:val="21"/>
                <w:szCs w:val="21"/>
                <w:lang w:val="en-US" w:eastAsia="zh-CN" w:bidi="zh-CN"/>
              </w:rPr>
              <w:t>14</w:t>
            </w:r>
            <w:r>
              <w:rPr>
                <w:rFonts w:hint="eastAsia" w:ascii="宋体" w:hAnsi="宋体" w:eastAsia="宋体" w:cs="宋体"/>
                <w:color w:val="auto"/>
                <w:sz w:val="21"/>
                <w:szCs w:val="21"/>
                <w:lang w:val="en-US" w:eastAsia="zh-CN" w:bidi="zh-CN"/>
              </w:rPr>
              <w:t>、结构层：现浇</w:t>
            </w:r>
            <w:r>
              <w:rPr>
                <w:rFonts w:hint="eastAsia" w:ascii="宋体" w:hAnsi="宋体" w:cs="宋体"/>
                <w:color w:val="auto"/>
                <w:sz w:val="21"/>
                <w:szCs w:val="21"/>
                <w:lang w:val="en-US" w:eastAsia="zh-CN" w:bidi="zh-CN"/>
              </w:rPr>
              <w:t>屋面板清理后纯水泥浆掺防水剂清扫填毛细缝</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left"/>
              <w:rPr>
                <w:rStyle w:val="244"/>
                <w:color w:val="auto"/>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eastAsia="宋体" w:cs="宋体"/>
                <w:b/>
                <w:bCs/>
                <w:sz w:val="21"/>
                <w:szCs w:val="21"/>
                <w:lang w:val="en-US" w:eastAsia="zh-CN" w:bidi="zh-CN"/>
              </w:rPr>
              <w:t>屋面4：</w:t>
            </w:r>
            <w:r>
              <w:rPr>
                <w:rFonts w:hint="eastAsia" w:ascii="宋体" w:hAnsi="宋体" w:cs="宋体"/>
                <w:b/>
                <w:bCs/>
                <w:sz w:val="21"/>
                <w:szCs w:val="21"/>
                <w:lang w:val="en-US" w:eastAsia="zh-CN" w:bidi="zh-CN"/>
              </w:rPr>
              <w:t>混凝土雨棚顶、设备平台、防火挑檐</w:t>
            </w:r>
          </w:p>
          <w:p>
            <w:pPr>
              <w:keepNext w:val="0"/>
              <w:keepLines w:val="0"/>
              <w:suppressLineNumbers w:val="0"/>
              <w:spacing w:before="0" w:beforeAutospacing="0" w:after="0" w:afterAutospacing="0"/>
              <w:ind w:left="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1、40厚C25细石混凝土刚性保护层，∅6@150单层双向钢筋网片，设分仓缝间距不大于6m，缝宽20mm，建筑油膏填缝密实；</w:t>
            </w:r>
          </w:p>
          <w:p>
            <w:pPr>
              <w:keepNext w:val="0"/>
              <w:keepLines w:val="0"/>
              <w:suppressLineNumbers w:val="0"/>
              <w:spacing w:before="0" w:beforeAutospacing="0" w:after="0" w:afterAutospacing="0"/>
              <w:ind w:left="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2、5厚聚合物水泥防水砂浆；</w:t>
            </w:r>
          </w:p>
          <w:p>
            <w:pPr>
              <w:keepNext w:val="0"/>
              <w:keepLines w:val="0"/>
              <w:suppressLineNumbers w:val="0"/>
              <w:spacing w:before="0" w:beforeAutospacing="0" w:after="0" w:afterAutospacing="0"/>
              <w:ind w:left="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3、12mm厚DW</w:t>
            </w:r>
            <w:r>
              <w:rPr>
                <w:rFonts w:hint="eastAsia" w:ascii="宋体" w:hAnsi="宋体" w:cs="宋体"/>
                <w:color w:val="auto"/>
                <w:sz w:val="21"/>
                <w:szCs w:val="21"/>
                <w:lang w:val="en-US" w:eastAsia="zh-CN" w:bidi="zh-CN"/>
              </w:rPr>
              <w:t xml:space="preserve"> </w:t>
            </w:r>
            <w:r>
              <w:rPr>
                <w:rFonts w:hint="eastAsia" w:ascii="宋体" w:hAnsi="宋体" w:eastAsia="宋体" w:cs="宋体"/>
                <w:color w:val="auto"/>
                <w:sz w:val="21"/>
                <w:szCs w:val="21"/>
                <w:lang w:val="en-US" w:eastAsia="zh-CN" w:bidi="zh-CN"/>
              </w:rPr>
              <w:t>M20普通防水砂浆分层抹平；</w:t>
            </w:r>
          </w:p>
          <w:p>
            <w:pPr>
              <w:keepNext w:val="0"/>
              <w:keepLines w:val="0"/>
              <w:suppressLineNumbers w:val="0"/>
              <w:spacing w:before="0" w:beforeAutospacing="0" w:after="0" w:afterAutospacing="0"/>
              <w:ind w:left="0" w:right="0"/>
              <w:rPr>
                <w:rFonts w:hint="eastAsia" w:ascii="宋体" w:hAnsi="宋体" w:cs="宋体"/>
                <w:color w:val="auto"/>
                <w:sz w:val="21"/>
                <w:szCs w:val="21"/>
                <w:lang w:val="en-US" w:eastAsia="zh-CN" w:bidi="zh-CN"/>
              </w:rPr>
            </w:pPr>
            <w:r>
              <w:rPr>
                <w:rFonts w:hint="eastAsia" w:ascii="宋体" w:hAnsi="宋体" w:eastAsia="宋体" w:cs="宋体"/>
                <w:color w:val="auto"/>
                <w:sz w:val="21"/>
                <w:szCs w:val="21"/>
                <w:lang w:val="en-US" w:eastAsia="zh-CN" w:bidi="zh-CN"/>
              </w:rPr>
              <w:t>4、现浇</w:t>
            </w:r>
            <w:r>
              <w:rPr>
                <w:rFonts w:hint="eastAsia" w:ascii="宋体" w:hAnsi="宋体" w:cs="宋体"/>
                <w:color w:val="auto"/>
                <w:sz w:val="21"/>
                <w:szCs w:val="21"/>
                <w:lang w:val="en-US" w:eastAsia="zh-CN" w:bidi="zh-CN"/>
              </w:rPr>
              <w:t>屋面板清理后纯水泥浆掺防水剂清扫填毛细缝。</w:t>
            </w:r>
          </w:p>
        </w:tc>
      </w:tr>
      <w:tr>
        <w:trPr>
          <w:cantSplit/>
          <w:trHeight w:val="0" w:hRule="atLeast"/>
          <w:jc w:val="center"/>
        </w:trPr>
        <w:tc>
          <w:tcPr>
            <w:tcW w:w="1285"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rPr>
            </w:pPr>
            <w:r>
              <w:rPr>
                <w:rFonts w:hint="eastAsia"/>
                <w:spacing w:val="6"/>
                <w:sz w:val="21"/>
                <w:szCs w:val="21"/>
              </w:rPr>
              <w:t>保温</w:t>
            </w:r>
          </w:p>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隔热</w:t>
            </w:r>
          </w:p>
        </w:tc>
        <w:tc>
          <w:tcPr>
            <w:tcW w:w="1547"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外墙</w:t>
            </w: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eastAsia" w:ascii="宋体" w:hAnsi="宋体" w:eastAsia="宋体" w:cs="宋体"/>
                <w:b/>
                <w:bCs/>
                <w:sz w:val="21"/>
                <w:szCs w:val="21"/>
                <w:lang w:val="en-US" w:eastAsia="zh-CN" w:bidi="zh-CN"/>
              </w:rPr>
            </w:pPr>
            <w:r>
              <w:rPr>
                <w:rFonts w:hint="eastAsia" w:ascii="宋体" w:hAnsi="宋体" w:cs="宋体"/>
                <w:b/>
                <w:bCs/>
                <w:sz w:val="21"/>
                <w:szCs w:val="21"/>
                <w:lang w:val="en-US" w:eastAsia="zh-CN" w:bidi="zh-CN"/>
              </w:rPr>
              <w:t>多彩仿石涂料外墙1</w:t>
            </w:r>
            <w:r>
              <w:rPr>
                <w:rFonts w:hint="eastAsia"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4#楼外墙、1#门卫外墙</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1、外墙多彩仿石涂料系统（一底两面）照光（颜色详见立面图、空调机位百叶内侧为丙烯酸外墙涂料）；</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2、专用底漆一道</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3、满刮外墙柔性防水腻子两道；</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5厚聚合物水泥防水砂浆（其上挤浆满铺</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㎡耐碱网格布）；</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5</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12mm厚DWM20普通防水砂浆分层抹平；</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6</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砌体墙面与砼交接面设500宽12.7*12.7*0.9镀锌钢丝网；</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7</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混凝土墙面2厚界面剂一道（Ⅰ型）甩毛或加气砌块墙面2厚界面剂一道（Ⅱ型）甩毛；</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kern w:val="2"/>
                <w:sz w:val="21"/>
                <w:szCs w:val="21"/>
                <w:lang w:val="en-US" w:eastAsia="zh-CN" w:bidi="zh-CN"/>
              </w:rPr>
            </w:pPr>
            <w:r>
              <w:rPr>
                <w:rFonts w:hint="eastAsia" w:ascii="宋体" w:hAnsi="宋体" w:eastAsia="宋体" w:cs="宋体"/>
                <w:color w:val="auto"/>
                <w:sz w:val="21"/>
                <w:szCs w:val="21"/>
                <w:lang w:val="en-US" w:eastAsia="zh-CN" w:bidi="zh-CN"/>
              </w:rPr>
              <w:t>8</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砌体与钢筋混凝土基层清理干净。</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eastAsia" w:ascii="宋体" w:hAnsi="宋体" w:eastAsia="宋体" w:cs="宋体"/>
                <w:b/>
                <w:bCs/>
                <w:sz w:val="21"/>
                <w:szCs w:val="21"/>
                <w:lang w:val="en-US" w:eastAsia="zh-CN" w:bidi="zh-CN"/>
              </w:rPr>
            </w:pPr>
            <w:r>
              <w:rPr>
                <w:rFonts w:hint="eastAsia" w:ascii="宋体" w:hAnsi="宋体" w:cs="宋体"/>
                <w:b/>
                <w:bCs/>
                <w:sz w:val="21"/>
                <w:szCs w:val="21"/>
                <w:lang w:val="en-US" w:eastAsia="zh-CN" w:bidi="zh-CN"/>
              </w:rPr>
              <w:t>多彩仿石涂料外墙2</w:t>
            </w:r>
            <w:r>
              <w:rPr>
                <w:rFonts w:hint="eastAsia"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2#、3#厂房外墙、阳台、设备平台、出屋面烟道侧墙（涂料外墙）、女儿墙内侧</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1、外墙多彩仿石涂料系统（一底两面）照光（颜色详见立面图、空调机位百叶内侧为丙烯酸外墙涂料）；</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2、满刮外墙柔性防水腻子两道；</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5厚聚合物水泥防水砂浆（其上挤浆满铺</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㎡耐碱网格布）；</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12mm厚DWM20普通防水砂浆分层抹平；</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5</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砌体墙面与砼交接面设500宽12.7*12.7*0.9镀锌钢丝网；</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6</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混凝土墙面2厚界面剂一道（Ⅰ型）甩毛或加气砌块墙面2厚界面剂一道（Ⅱ型）甩毛；</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仿宋_GB2312" w:hAnsi="仿宋_GB2312" w:eastAsia="宋体" w:cs="Times New Roman"/>
                <w:kern w:val="2"/>
                <w:sz w:val="21"/>
                <w:szCs w:val="21"/>
                <w:lang w:val="en-US" w:eastAsia="zh-CN" w:bidi="ar-SA"/>
              </w:rPr>
            </w:pPr>
            <w:r>
              <w:rPr>
                <w:rFonts w:hint="eastAsia" w:ascii="宋体" w:hAnsi="宋体" w:eastAsia="宋体" w:cs="宋体"/>
                <w:color w:val="auto"/>
                <w:sz w:val="21"/>
                <w:szCs w:val="21"/>
                <w:lang w:val="en-US" w:eastAsia="zh-CN" w:bidi="zh-CN"/>
              </w:rPr>
              <w:t>7</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砌体与钢筋混凝土基层清理干净。</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干挂铝板饰面</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2#厂房、3#厂房铝板外墙</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1、</w:t>
            </w:r>
            <w:r>
              <w:rPr>
                <w:rFonts w:hint="eastAsia" w:ascii="宋体" w:hAnsi="宋体" w:cs="宋体"/>
                <w:color w:val="auto"/>
                <w:sz w:val="21"/>
                <w:szCs w:val="21"/>
                <w:lang w:val="en-US" w:eastAsia="zh-CN" w:bidi="zh-CN"/>
              </w:rPr>
              <w:t>干挂铝板幕墙（专业资质单位设计、施工）；</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2</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5厚聚合物水泥防水砂浆（其上挤浆满铺</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㎡耐碱网格布）；</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12mm厚DW M20普通防水砂浆分层抹平</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砌体墙面与砼交接面设500宽12.7*12.7*0.9镀锌钢丝网</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kern w:val="2"/>
                <w:sz w:val="21"/>
                <w:szCs w:val="21"/>
                <w:lang w:val="en-US" w:eastAsia="zh-CN" w:bidi="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rPr>
            </w:pPr>
          </w:p>
        </w:tc>
        <w:tc>
          <w:tcPr>
            <w:tcW w:w="6915" w:type="dxa"/>
            <w:gridSpan w:val="2"/>
            <w:shd w:val="clear" w:color="auto" w:fill="auto"/>
            <w:vAlign w:val="top"/>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白色丙烯酸外墙</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4#楼（上部有保温房间）</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1、</w:t>
            </w:r>
            <w:r>
              <w:rPr>
                <w:rFonts w:hint="eastAsia" w:ascii="宋体" w:hAnsi="宋体" w:cs="宋体"/>
                <w:color w:val="auto"/>
                <w:sz w:val="21"/>
                <w:szCs w:val="21"/>
                <w:lang w:val="en-US" w:eastAsia="zh-CN" w:bidi="zh-CN"/>
              </w:rPr>
              <w:t>钢筋混凝土基层清理干净；</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2</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岩棉板（30.0mm）加装配套固定件，加装配套固定件（钢支撑托架+M8锚栓@100mm）</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抹灰砂浆复合耐碱玻纤网（5.0mm）</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防水腻子层</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抛光腻子层</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kern w:val="2"/>
                <w:sz w:val="21"/>
                <w:szCs w:val="21"/>
                <w:lang w:val="en-US" w:eastAsia="zh-CN" w:bidi="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白色丙烯酸外墙防水涂料</w:t>
            </w:r>
            <w:r>
              <w:rPr>
                <w:rFonts w:hint="eastAsia" w:ascii="宋体" w:hAnsi="宋体" w:eastAsia="宋体" w:cs="宋体"/>
                <w:color w:val="auto"/>
                <w:sz w:val="21"/>
                <w:szCs w:val="21"/>
                <w:lang w:val="en-US" w:eastAsia="zh-CN" w:bidi="zh-CN"/>
              </w:rPr>
              <w:t>。</w:t>
            </w:r>
          </w:p>
        </w:tc>
      </w:tr>
      <w:tr>
        <w:trPr>
          <w:cantSplit/>
          <w:trHeight w:val="254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spacing w:val="6"/>
                <w:sz w:val="21"/>
                <w:szCs w:val="21"/>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白色丙烯酸外墙</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2#、3#厂房架空楼板顶棚（非保温架空楼板用于架空区域）</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1、</w:t>
            </w:r>
            <w:r>
              <w:rPr>
                <w:rFonts w:hint="eastAsia" w:ascii="宋体" w:hAnsi="宋体" w:cs="宋体"/>
                <w:color w:val="auto"/>
                <w:sz w:val="21"/>
                <w:szCs w:val="21"/>
                <w:lang w:val="en-US" w:eastAsia="zh-CN" w:bidi="zh-CN"/>
              </w:rPr>
              <w:t>钢筋混凝土基层清理干净；</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2</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5厚聚合物水泥防水抗裂砂浆（</w:t>
            </w:r>
            <w:r>
              <w:rPr>
                <w:rFonts w:hint="eastAsia" w:ascii="宋体" w:hAnsi="宋体" w:eastAsia="宋体" w:cs="宋体"/>
                <w:color w:val="auto"/>
                <w:sz w:val="21"/>
                <w:szCs w:val="21"/>
                <w:lang w:val="en-US" w:eastAsia="zh-CN" w:bidi="zh-CN"/>
              </w:rPr>
              <w:t>其上挤浆满铺</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㎡耐碱网格布）；</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防水腻子层</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抛光腻子层</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Style w:val="244"/>
                <w:rFonts w:hint="default"/>
                <w:spacing w:val="6"/>
                <w:sz w:val="21"/>
                <w:szCs w:val="21"/>
                <w:lang w:val="en-US" w:eastAsia="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白色丙烯酸外墙防水涂料</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rPr>
            </w:pPr>
            <w:r>
              <w:rPr>
                <w:rFonts w:hint="eastAsia"/>
                <w:color w:val="auto"/>
                <w:spacing w:val="6"/>
                <w:sz w:val="21"/>
                <w:szCs w:val="21"/>
              </w:rPr>
              <w:t>抹灰</w:t>
            </w:r>
          </w:p>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工程</w:t>
            </w:r>
          </w:p>
        </w:tc>
        <w:tc>
          <w:tcPr>
            <w:tcW w:w="1547"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内墙</w:t>
            </w: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无水房间</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车间、车间内走道、4#楼客房</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1、面刷白色内墙涂料（车间）或水性白色无机内墙涂料一道，一底二度（</w:t>
            </w:r>
            <w:r>
              <w:rPr>
                <w:rFonts w:hint="eastAsia" w:ascii="宋体" w:hAnsi="宋体" w:eastAsia="宋体" w:cs="宋体"/>
                <w:color w:val="auto"/>
                <w:sz w:val="21"/>
                <w:szCs w:val="21"/>
                <w:lang w:val="en-US" w:eastAsia="zh-CN" w:bidi="zh-CN"/>
              </w:rPr>
              <w:t>中间仓库）；</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2、白色腻子二度刮平；</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5mm厚DP M15水泥砂浆毛蟹光</w:t>
            </w:r>
            <w:r>
              <w:rPr>
                <w:rFonts w:hint="eastAsia" w:ascii="宋体" w:hAnsi="宋体" w:cs="宋体"/>
                <w:color w:val="auto"/>
                <w:sz w:val="21"/>
                <w:szCs w:val="21"/>
                <w:lang w:val="en-US" w:eastAsia="zh-CN" w:bidi="zh-CN"/>
              </w:rPr>
              <w:t>面压入一道</w:t>
            </w:r>
            <w:r>
              <w:rPr>
                <w:rFonts w:hint="eastAsia" w:ascii="宋体" w:hAnsi="宋体" w:eastAsia="宋体" w:cs="宋体"/>
                <w:color w:val="auto"/>
                <w:sz w:val="21"/>
                <w:szCs w:val="21"/>
                <w:lang w:val="en-US" w:eastAsia="zh-CN" w:bidi="zh-CN"/>
              </w:rPr>
              <w:t>耐碱玻纤网格布（</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10mm厚DP M15水泥砂浆分层抹平</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填充墙与混凝土梁、墙、柱等交接面设300宽</w:t>
            </w:r>
            <w:r>
              <w:rPr>
                <w:rFonts w:hint="eastAsia" w:ascii="宋体" w:hAnsi="宋体" w:eastAsia="宋体" w:cs="宋体"/>
                <w:color w:val="auto"/>
                <w:sz w:val="21"/>
                <w:szCs w:val="21"/>
                <w:lang w:val="en-US" w:eastAsia="zh-CN" w:bidi="zh-CN"/>
              </w:rPr>
              <w:t>耐碱玻纤网格布（</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Style w:val="244"/>
                <w:rFonts w:hint="default" w:eastAsia="宋体"/>
                <w:color w:val="FF0000"/>
                <w:spacing w:val="6"/>
                <w:sz w:val="21"/>
                <w:szCs w:val="21"/>
                <w:lang w:val="en-US" w:eastAsia="zh-CN"/>
              </w:rPr>
            </w:pPr>
            <w:r>
              <w:rPr>
                <w:rFonts w:hint="eastAsia" w:ascii="宋体" w:hAnsi="宋体" w:eastAsia="宋体" w:cs="宋体"/>
                <w:color w:val="auto"/>
                <w:kern w:val="2"/>
                <w:sz w:val="21"/>
                <w:szCs w:val="21"/>
                <w:lang w:val="en-US" w:eastAsia="zh-CN" w:bidi="zh-CN"/>
              </w:rPr>
              <w:t>7</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371"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lang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有水房间</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卫生间、清洁间、清洗间、茶水间</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1、面层及结合层详见二次装修</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2、2厚1：0.5掺用水量10%水性建筑专用胶水水泥砂浆细拉毛罩面；</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eastAsia="宋体" w:cs="宋体"/>
                <w:color w:val="auto"/>
                <w:sz w:val="21"/>
                <w:szCs w:val="21"/>
                <w:lang w:val="en-US" w:eastAsia="zh-CN" w:bidi="zh-CN"/>
              </w:rPr>
              <w:t>3、墙面涂刷1.5mm厚JS-Ⅱ型聚合物水泥防水涂料；</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w:t>
            </w:r>
            <w:r>
              <w:rPr>
                <w:rFonts w:hint="default" w:ascii="宋体" w:hAnsi="宋体" w:eastAsia="宋体" w:cs="宋体"/>
                <w:color w:val="auto"/>
                <w:sz w:val="21"/>
                <w:szCs w:val="21"/>
                <w:lang w:val="en-US" w:eastAsia="zh-CN" w:bidi="zh-CN"/>
              </w:rPr>
              <w:t>、</w:t>
            </w:r>
            <w:r>
              <w:rPr>
                <w:rFonts w:hint="eastAsia" w:ascii="宋体" w:hAnsi="宋体" w:cs="宋体"/>
                <w:color w:val="auto"/>
                <w:sz w:val="21"/>
                <w:szCs w:val="21"/>
                <w:lang w:val="en-US" w:eastAsia="zh-CN" w:bidi="zh-CN"/>
              </w:rPr>
              <w:t>5厚聚合物防水抗裂砂浆（其上挤浆满铺</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㎡耐碱网格布）；</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10mm厚DW M15水泥砂浆分层抹平</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cs="宋体"/>
                <w:color w:val="auto"/>
                <w:sz w:val="21"/>
                <w:szCs w:val="21"/>
                <w:lang w:val="en-US" w:eastAsia="zh-CN" w:bidi="zh-CN"/>
              </w:rPr>
              <w:t>5a、无机轻集料保温砂浆Ⅰ型（25.0mm）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填充墙与混凝土梁、墙、柱等交接面设300宽</w:t>
            </w:r>
            <w:r>
              <w:rPr>
                <w:rFonts w:hint="eastAsia" w:ascii="宋体" w:hAnsi="宋体" w:eastAsia="宋体" w:cs="宋体"/>
                <w:color w:val="auto"/>
                <w:sz w:val="21"/>
                <w:szCs w:val="21"/>
                <w:lang w:val="en-US" w:eastAsia="zh-CN" w:bidi="zh-CN"/>
              </w:rPr>
              <w:t>耐碱玻纤网格布（</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7</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Style w:val="244"/>
                <w:rFonts w:hint="default"/>
                <w:color w:val="FF0000"/>
                <w:spacing w:val="6"/>
                <w:sz w:val="21"/>
                <w:szCs w:val="21"/>
                <w:lang w:val="en-US" w:eastAsia="zh-CN"/>
              </w:rPr>
            </w:pPr>
            <w:r>
              <w:rPr>
                <w:rFonts w:hint="eastAsia" w:ascii="宋体" w:hAnsi="宋体" w:eastAsia="宋体" w:cs="宋体"/>
                <w:color w:val="auto"/>
                <w:kern w:val="2"/>
                <w:sz w:val="21"/>
                <w:szCs w:val="21"/>
                <w:lang w:val="en-US" w:eastAsia="zh-CN" w:bidi="zh-CN"/>
              </w:rPr>
              <w:t>8</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371"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无机涂料墙面</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楼梯间、消控室监控室、配电房、门卫值班室、弱电机房、电梯机房、4#楼公共走道、活动室</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1、水性白色无机内墙涂料一道，一底二度（</w:t>
            </w:r>
            <w:r>
              <w:rPr>
                <w:rFonts w:hint="eastAsia" w:ascii="宋体" w:hAnsi="宋体" w:eastAsia="宋体" w:cs="宋体"/>
                <w:color w:val="auto"/>
                <w:sz w:val="21"/>
                <w:szCs w:val="21"/>
                <w:lang w:val="en-US" w:eastAsia="zh-CN" w:bidi="zh-CN"/>
              </w:rPr>
              <w:t>用于配电房时为防静电涂料）；</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2、2厚内墙腻子，分两遍批白；</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w:t>
            </w:r>
            <w:r>
              <w:rPr>
                <w:rFonts w:hint="default" w:ascii="宋体" w:hAnsi="宋体" w:eastAsia="宋体" w:cs="宋体"/>
                <w:color w:val="auto"/>
                <w:sz w:val="21"/>
                <w:szCs w:val="21"/>
                <w:lang w:val="en-US" w:eastAsia="zh-CN" w:bidi="zh-CN"/>
              </w:rPr>
              <w:t>、</w:t>
            </w:r>
            <w:r>
              <w:rPr>
                <w:rFonts w:hint="eastAsia" w:ascii="宋体" w:hAnsi="宋体" w:eastAsia="宋体" w:cs="宋体"/>
                <w:color w:val="auto"/>
                <w:sz w:val="21"/>
                <w:szCs w:val="21"/>
                <w:lang w:val="en-US" w:eastAsia="zh-CN" w:bidi="zh-CN"/>
              </w:rPr>
              <w:t>5mm厚DP M15水泥砂浆毛蟹光</w:t>
            </w:r>
            <w:r>
              <w:rPr>
                <w:rFonts w:hint="eastAsia" w:ascii="宋体" w:hAnsi="宋体" w:cs="宋体"/>
                <w:color w:val="auto"/>
                <w:sz w:val="21"/>
                <w:szCs w:val="21"/>
                <w:lang w:val="en-US" w:eastAsia="zh-CN" w:bidi="zh-CN"/>
              </w:rPr>
              <w:t>面压入一道</w:t>
            </w:r>
            <w:r>
              <w:rPr>
                <w:rFonts w:hint="eastAsia" w:ascii="宋体" w:hAnsi="宋体" w:eastAsia="宋体" w:cs="宋体"/>
                <w:color w:val="auto"/>
                <w:sz w:val="21"/>
                <w:szCs w:val="21"/>
                <w:lang w:val="en-US" w:eastAsia="zh-CN" w:bidi="zh-CN"/>
              </w:rPr>
              <w:t>耐碱玻纤网格布（</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10mm厚DP M15水泥砂浆分层抹平</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cs="宋体"/>
                <w:color w:val="auto"/>
                <w:sz w:val="21"/>
                <w:szCs w:val="21"/>
                <w:lang w:val="en-US" w:eastAsia="zh-CN" w:bidi="zh-CN"/>
              </w:rPr>
              <w:t>4a、无机轻集料保温砂浆Ⅰ型（25.0mm）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填充墙与混凝土梁、墙、柱等交接面设300宽</w:t>
            </w:r>
            <w:r>
              <w:rPr>
                <w:rFonts w:hint="eastAsia" w:ascii="宋体" w:hAnsi="宋体" w:eastAsia="宋体" w:cs="宋体"/>
                <w:color w:val="auto"/>
                <w:sz w:val="21"/>
                <w:szCs w:val="21"/>
                <w:lang w:val="en-US" w:eastAsia="zh-CN" w:bidi="zh-CN"/>
              </w:rPr>
              <w:t>耐碱玻纤网格布（重量≥</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㎡，网孔4*4）（楼梯间内墙为满铺热镀锌12.7*12.7*0.9钢丝网）；</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kern w:val="2"/>
                <w:sz w:val="21"/>
                <w:szCs w:val="21"/>
                <w:lang w:val="en-US" w:eastAsia="zh-CN" w:bidi="zh-CN"/>
              </w:rPr>
            </w:pPr>
            <w:r>
              <w:rPr>
                <w:rFonts w:hint="eastAsia" w:ascii="宋体" w:hAnsi="宋体" w:eastAsia="宋体" w:cs="宋体"/>
                <w:color w:val="auto"/>
                <w:kern w:val="2"/>
                <w:sz w:val="21"/>
                <w:szCs w:val="21"/>
                <w:lang w:val="en-US" w:eastAsia="zh-CN" w:bidi="zh-CN"/>
              </w:rPr>
              <w:t>7</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371"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内墙涂料墙面</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设备管井内壁</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1、内墙专用腻子两道，普通内墙涂料一道</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2、15</w:t>
            </w:r>
            <w:r>
              <w:rPr>
                <w:rFonts w:hint="eastAsia" w:ascii="宋体" w:hAnsi="宋体" w:cs="宋体"/>
                <w:color w:val="auto"/>
                <w:sz w:val="21"/>
                <w:szCs w:val="21"/>
                <w:lang w:val="en-US" w:eastAsia="zh-CN" w:bidi="zh-CN"/>
              </w:rPr>
              <w:t>mm厚DP M15水泥砂浆分层抹平</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填充墙与混凝土梁、墙、柱等交接面设300宽</w:t>
            </w:r>
            <w:r>
              <w:rPr>
                <w:rFonts w:hint="eastAsia" w:ascii="宋体" w:hAnsi="宋体" w:eastAsia="宋体" w:cs="宋体"/>
                <w:color w:val="auto"/>
                <w:sz w:val="21"/>
                <w:szCs w:val="21"/>
                <w:lang w:val="en-US" w:eastAsia="zh-CN" w:bidi="zh-CN"/>
              </w:rPr>
              <w:t>耐碱玻纤网格布（重量≥</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㎡，网孔4*4）；</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kern w:val="2"/>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eastAsia" w:ascii="宋体" w:hAnsi="宋体" w:eastAsia="宋体" w:cs="宋体"/>
                <w:b/>
                <w:bCs/>
                <w:sz w:val="21"/>
                <w:szCs w:val="21"/>
                <w:lang w:val="en-US" w:eastAsia="zh-CN" w:bidi="zh-CN"/>
              </w:rPr>
            </w:pPr>
            <w:r>
              <w:rPr>
                <w:rFonts w:hint="eastAsia" w:ascii="宋体" w:hAnsi="宋体" w:cs="宋体"/>
                <w:b/>
                <w:bCs/>
                <w:sz w:val="21"/>
                <w:szCs w:val="21"/>
                <w:lang w:val="en-US" w:eastAsia="zh-CN" w:bidi="zh-CN"/>
              </w:rPr>
              <w:t>抛光砖墙面</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前室、合用前室、电梯厅</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eastAsia="宋体" w:cs="宋体"/>
                <w:b/>
                <w:bCs/>
                <w:sz w:val="21"/>
                <w:szCs w:val="21"/>
                <w:lang w:val="en-US" w:eastAsia="zh-CN" w:bidi="zh-CN"/>
              </w:rPr>
              <w:t>电梯井道墙面随砌随清理，内墙不做粉刷</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1、10厚400x800抛光砖，专用粘结剂粘贴（样式选样定）稀水泥浆擦缝--详见二次装修</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2、5mm厚DP M15水泥砂浆毛蟹光</w:t>
            </w:r>
            <w:r>
              <w:rPr>
                <w:rFonts w:hint="eastAsia" w:ascii="宋体" w:hAnsi="宋体" w:cs="宋体"/>
                <w:color w:val="auto"/>
                <w:sz w:val="21"/>
                <w:szCs w:val="21"/>
                <w:lang w:val="en-US" w:eastAsia="zh-CN" w:bidi="zh-CN"/>
              </w:rPr>
              <w:t>面压入一道</w:t>
            </w:r>
            <w:r>
              <w:rPr>
                <w:rFonts w:hint="eastAsia" w:ascii="宋体" w:hAnsi="宋体" w:eastAsia="宋体" w:cs="宋体"/>
                <w:color w:val="auto"/>
                <w:sz w:val="21"/>
                <w:szCs w:val="21"/>
                <w:lang w:val="en-US" w:eastAsia="zh-CN" w:bidi="zh-CN"/>
              </w:rPr>
              <w:t>耐碱玻纤网格布（</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3</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10mm厚DP M15水泥砂浆分层抹平（内嵌热镀锌12.7*12.7*0.9钢丝网）</w:t>
            </w:r>
            <w:r>
              <w:rPr>
                <w:rFonts w:hint="eastAsia" w:ascii="宋体" w:hAnsi="宋体" w:eastAsia="宋体" w:cs="宋体"/>
                <w:color w:val="auto"/>
                <w:sz w:val="21"/>
                <w:szCs w:val="21"/>
                <w:lang w:val="en-US" w:eastAsia="zh-CN" w:bidi="zh-CN"/>
              </w:rPr>
              <w:t>；</w:t>
            </w:r>
          </w:p>
          <w:p>
            <w:pPr>
              <w:keepNext w:val="0"/>
              <w:keepLines w:val="0"/>
              <w:suppressLineNumbers w:val="0"/>
              <w:spacing w:before="0" w:beforeAutospacing="0" w:after="0" w:afterAutospacing="0"/>
              <w:ind w:left="0" w:right="0"/>
              <w:rPr>
                <w:rFonts w:hint="default"/>
                <w:lang w:val="en-US" w:eastAsia="zh-CN"/>
              </w:rPr>
            </w:pPr>
            <w:r>
              <w:rPr>
                <w:rFonts w:hint="eastAsia" w:ascii="宋体" w:hAnsi="宋体" w:cs="宋体"/>
                <w:color w:val="auto"/>
                <w:sz w:val="21"/>
                <w:szCs w:val="21"/>
                <w:lang w:val="en-US" w:eastAsia="zh-CN" w:bidi="zh-CN"/>
              </w:rPr>
              <w:t>3a、无机轻集料保温砂浆Ⅰ型（25.0mm）；</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4</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填充墙与混凝土梁、墙、柱等交接面设300宽</w:t>
            </w:r>
            <w:r>
              <w:rPr>
                <w:rFonts w:hint="eastAsia" w:ascii="宋体" w:hAnsi="宋体" w:eastAsia="宋体" w:cs="宋体"/>
                <w:color w:val="auto"/>
                <w:sz w:val="21"/>
                <w:szCs w:val="21"/>
                <w:lang w:val="en-US" w:eastAsia="zh-CN" w:bidi="zh-CN"/>
              </w:rPr>
              <w:t>耐碱玻纤网格布（重量≥</w:t>
            </w:r>
            <w:r>
              <w:rPr>
                <w:rFonts w:hint="default" w:ascii="宋体" w:hAnsi="宋体" w:eastAsia="宋体" w:cs="宋体"/>
                <w:color w:val="auto"/>
                <w:sz w:val="21"/>
                <w:szCs w:val="21"/>
                <w:lang w:val="en-US" w:eastAsia="zh-CN" w:bidi="zh-CN"/>
              </w:rPr>
              <w:t>160g/</w:t>
            </w:r>
            <w:r>
              <w:rPr>
                <w:rFonts w:hint="eastAsia" w:ascii="宋体" w:hAnsi="宋体" w:eastAsia="宋体" w:cs="宋体"/>
                <w:color w:val="auto"/>
                <w:sz w:val="21"/>
                <w:szCs w:val="21"/>
                <w:lang w:val="en-US" w:eastAsia="zh-CN" w:bidi="zh-CN"/>
              </w:rPr>
              <w:t>㎡，网孔4*4）；</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default" w:ascii="宋体" w:hAnsi="宋体" w:eastAsia="宋体" w:cs="宋体"/>
                <w:color w:val="auto"/>
                <w:sz w:val="21"/>
                <w:szCs w:val="21"/>
                <w:lang w:val="en-US" w:eastAsia="zh-CN" w:bidi="zh-CN"/>
              </w:rPr>
            </w:pPr>
            <w:r>
              <w:rPr>
                <w:rFonts w:hint="eastAsia" w:ascii="宋体" w:hAnsi="宋体" w:eastAsia="宋体" w:cs="宋体"/>
                <w:color w:val="auto"/>
                <w:kern w:val="2"/>
                <w:sz w:val="21"/>
                <w:szCs w:val="21"/>
                <w:lang w:val="en-US" w:eastAsia="zh-CN" w:bidi="zh-CN"/>
              </w:rPr>
              <w:t>5</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混凝土墙面2厚界面剂一道（Ⅰ型）甩毛或加气砌块墙面2厚界面剂一道（Ⅱ型）甩毛，利废多孔砖墙面素水泥浆一道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FF0000"/>
                <w:spacing w:val="6"/>
                <w:sz w:val="21"/>
                <w:szCs w:val="21"/>
                <w:lang w:eastAsia="zh-CN"/>
              </w:rPr>
            </w:pPr>
            <w:r>
              <w:rPr>
                <w:rFonts w:hint="eastAsia" w:ascii="宋体" w:hAnsi="宋体" w:eastAsia="宋体" w:cs="宋体"/>
                <w:color w:val="auto"/>
                <w:kern w:val="2"/>
                <w:sz w:val="21"/>
                <w:szCs w:val="21"/>
                <w:lang w:val="en-US" w:eastAsia="zh-CN" w:bidi="zh-CN"/>
              </w:rPr>
              <w:t>6</w:t>
            </w:r>
            <w:r>
              <w:rPr>
                <w:rFonts w:hint="default" w:ascii="宋体" w:hAnsi="宋体" w:eastAsia="宋体" w:cs="宋体"/>
                <w:color w:val="auto"/>
                <w:kern w:val="2"/>
                <w:sz w:val="21"/>
                <w:szCs w:val="21"/>
                <w:lang w:val="en-US" w:eastAsia="zh-CN" w:bidi="zh-CN"/>
              </w:rPr>
              <w:t>、</w:t>
            </w:r>
            <w:r>
              <w:rPr>
                <w:rFonts w:hint="eastAsia" w:ascii="宋体" w:hAnsi="宋体" w:cs="宋体"/>
                <w:color w:val="auto"/>
                <w:sz w:val="21"/>
                <w:szCs w:val="21"/>
                <w:lang w:val="en-US" w:eastAsia="zh-CN" w:bidi="zh-CN"/>
              </w:rPr>
              <w:t>利废粉煤灰多孔砖砌体与钢筋混凝土基层清理干净</w:t>
            </w:r>
            <w:r>
              <w:rPr>
                <w:rFonts w:hint="eastAsia" w:ascii="宋体" w:hAnsi="宋体" w:eastAsia="宋体" w:cs="宋体"/>
                <w:color w:val="auto"/>
                <w:sz w:val="21"/>
                <w:szCs w:val="21"/>
                <w:lang w:val="en-US" w:eastAsia="zh-CN" w:bidi="zh-CN"/>
              </w:rPr>
              <w:t>。</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lang w:val="en-US" w:eastAsia="zh-CN"/>
              </w:rPr>
              <w:t>顶</w:t>
            </w:r>
            <w:r>
              <w:rPr>
                <w:rStyle w:val="244"/>
                <w:rFonts w:hint="eastAsia"/>
                <w:color w:val="auto"/>
                <w:spacing w:val="6"/>
                <w:sz w:val="21"/>
                <w:szCs w:val="21"/>
              </w:rPr>
              <w:t>棚</w:t>
            </w: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无水房间</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车间、4#楼客房、4#楼活动室</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1、现浇钢筋混凝土楼板底基层清理干净刷界面剂一道</w:t>
            </w:r>
            <w:r>
              <w:rPr>
                <w:rFonts w:hint="eastAsia" w:ascii="宋体" w:hAnsi="宋体" w:eastAsia="宋体" w:cs="宋体"/>
                <w:color w:val="auto"/>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Style w:val="244"/>
                <w:rFonts w:hint="eastAsia" w:eastAsia="宋体"/>
                <w:color w:val="FF0000"/>
                <w:spacing w:val="6"/>
                <w:sz w:val="21"/>
                <w:szCs w:val="21"/>
                <w:lang w:eastAsia="zh-CN"/>
              </w:rPr>
            </w:pPr>
            <w:r>
              <w:rPr>
                <w:rFonts w:hint="eastAsia" w:ascii="宋体" w:hAnsi="宋体" w:eastAsia="宋体" w:cs="宋体"/>
                <w:color w:val="auto"/>
                <w:sz w:val="21"/>
                <w:szCs w:val="21"/>
                <w:lang w:val="en-US" w:eastAsia="zh-CN" w:bidi="zh-CN"/>
              </w:rPr>
              <w:t>2、3厚白色腻子分两边刮平，打磨平整，遇墙下翻100；</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val="en-US"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有水房间防霉涂料顶棚</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垃圾收集间</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1、楼板底基层清理（接缝处磨平、清除浮浆等），刷界面剂一道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2、涂刷Ⅰ型聚合物水泥基防水涂料5厚（防潮层）；</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3、2厚白色柔性耐水腻子分两遍刮平，打磨平整；</w:t>
            </w:r>
          </w:p>
          <w:p>
            <w:pPr>
              <w:keepNext w:val="0"/>
              <w:keepLines w:val="0"/>
              <w:suppressLineNumbers w:val="0"/>
              <w:shd w:val="clear"/>
              <w:adjustRightInd w:val="0"/>
              <w:snapToGrid w:val="0"/>
              <w:spacing w:before="0" w:beforeAutospacing="0" w:after="0" w:afterAutospacing="0" w:line="240" w:lineRule="auto"/>
              <w:ind w:left="0" w:right="0"/>
              <w:rPr>
                <w:rFonts w:hint="default"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4、白色A级无机防霉涂料一底两度。</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val="en-US"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铝扣板吊顶1</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卫生间、清洁间、清洗间</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1、楼板底基层清理（接缝处磨平、清除浮浆等），刷界面剂一道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2、涂刷Ⅰ型聚合物水泥基防水涂料5厚（防潮层）；</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3、膨胀螺钉埋设吸顶吊件；</w:t>
            </w:r>
          </w:p>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FF0000"/>
                <w:spacing w:val="6"/>
                <w:sz w:val="21"/>
                <w:szCs w:val="21"/>
                <w:lang w:eastAsia="zh-CN"/>
              </w:rPr>
            </w:pPr>
            <w:r>
              <w:rPr>
                <w:rFonts w:hint="eastAsia" w:ascii="宋体" w:hAnsi="宋体" w:eastAsia="宋体" w:cs="宋体"/>
                <w:color w:val="auto"/>
                <w:sz w:val="21"/>
                <w:szCs w:val="21"/>
                <w:lang w:val="en-US" w:eastAsia="zh-CN" w:bidi="zh-CN"/>
              </w:rPr>
              <w:t>4、铝扣板及配套龙骨详见二次装修设计。</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val="en-US"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白色外墙丙烯酸涂料顶棚</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雨棚板、设备平台、阳台</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1、现浇钢筋混凝土楼板底基层清理干净，漏浆及板缝不平整的地方用砂轮机打磨平整</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2、涂刷Ⅰ型聚合物水泥基防水涂料5厚（防潮层）；</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3、3厚白色柔性耐水腻子分两遍刮平，打磨平整；</w:t>
            </w:r>
          </w:p>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FF0000"/>
                <w:spacing w:val="6"/>
                <w:sz w:val="21"/>
                <w:szCs w:val="21"/>
                <w:lang w:eastAsia="zh-CN"/>
              </w:rPr>
            </w:pPr>
            <w:r>
              <w:rPr>
                <w:rFonts w:hint="eastAsia" w:ascii="宋体" w:hAnsi="宋体" w:eastAsia="宋体" w:cs="宋体"/>
                <w:color w:val="auto"/>
                <w:sz w:val="21"/>
                <w:szCs w:val="21"/>
                <w:lang w:val="en-US" w:eastAsia="zh-CN" w:bidi="zh-CN"/>
              </w:rPr>
              <w:t>4、白色外墙丙烯酸涂料二度饰面。</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val="en-US"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井道顶棚</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强弱电井道、配电小间、设备管井</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1、楼板底基层清理（接缝处磨平、清除浮浆等），刷界面剂一道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FF0000"/>
                <w:spacing w:val="6"/>
                <w:sz w:val="21"/>
                <w:szCs w:val="21"/>
                <w:lang w:eastAsia="zh-CN"/>
              </w:rPr>
            </w:pPr>
            <w:r>
              <w:rPr>
                <w:rFonts w:hint="eastAsia" w:ascii="宋体" w:hAnsi="宋体" w:eastAsia="宋体" w:cs="宋体"/>
                <w:color w:val="auto"/>
                <w:sz w:val="21"/>
                <w:szCs w:val="21"/>
                <w:lang w:val="en-US" w:eastAsia="zh-CN" w:bidi="zh-CN"/>
              </w:rPr>
              <w:t>2、2厚面层耐水腻子刮平分两遍刮平，打磨平整；</w:t>
            </w: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lang w:val="en-US" w:eastAsia="zh-CN"/>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客房晾晒区、门卫、卫生间</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1、楼板底基层清理（接缝处磨平、清除浮浆等），刷界面剂一道</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2、涂刷Ⅰ型聚合物水泥基防水涂料5厚（防潮层）；</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p>
        </w:tc>
      </w:tr>
      <w:tr>
        <w:trPr>
          <w:cantSplit/>
          <w:trHeight w:val="0" w:hRule="atLeast"/>
          <w:jc w:val="center"/>
        </w:trPr>
        <w:tc>
          <w:tcPr>
            <w:tcW w:w="1285"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p>
        </w:tc>
        <w:tc>
          <w:tcPr>
            <w:tcW w:w="1547"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rPr>
            </w:pPr>
          </w:p>
        </w:tc>
        <w:tc>
          <w:tcPr>
            <w:tcW w:w="6915" w:type="dxa"/>
            <w:gridSpan w:val="2"/>
            <w:shd w:val="clear" w:color="auto" w:fill="auto"/>
            <w:vAlign w:val="center"/>
          </w:tcPr>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jc w:val="both"/>
              <w:textAlignment w:val="auto"/>
              <w:rPr>
                <w:rFonts w:hint="default" w:ascii="宋体" w:hAnsi="宋体" w:eastAsia="宋体" w:cs="宋体"/>
                <w:b/>
                <w:bCs/>
                <w:sz w:val="21"/>
                <w:szCs w:val="21"/>
                <w:lang w:val="en-US" w:eastAsia="zh-CN" w:bidi="zh-CN"/>
              </w:rPr>
            </w:pPr>
            <w:r>
              <w:rPr>
                <w:rFonts w:hint="eastAsia" w:ascii="宋体" w:hAnsi="宋体" w:cs="宋体"/>
                <w:b/>
                <w:bCs/>
                <w:sz w:val="21"/>
                <w:szCs w:val="21"/>
                <w:lang w:val="en-US" w:eastAsia="zh-CN" w:bidi="zh-CN"/>
              </w:rPr>
              <w:t>无机涂料</w:t>
            </w:r>
            <w:r>
              <w:rPr>
                <w:rFonts w:hint="default" w:ascii="宋体" w:hAnsi="宋体" w:eastAsia="宋体" w:cs="宋体"/>
                <w:b/>
                <w:bCs/>
                <w:sz w:val="21"/>
                <w:szCs w:val="21"/>
                <w:lang w:val="en-US" w:eastAsia="zh-CN" w:bidi="zh-CN"/>
              </w:rPr>
              <w:t>（</w:t>
            </w:r>
            <w:r>
              <w:rPr>
                <w:rFonts w:hint="eastAsia" w:ascii="宋体" w:hAnsi="宋体" w:cs="宋体"/>
                <w:b/>
                <w:bCs/>
                <w:sz w:val="21"/>
                <w:szCs w:val="21"/>
                <w:lang w:val="en-US" w:eastAsia="zh-CN" w:bidi="zh-CN"/>
              </w:rPr>
              <w:t>楼梯间、消控室监控室、配电房、门卫、弱点机房、电梯机房、架空层停车区域</w:t>
            </w:r>
            <w:r>
              <w:rPr>
                <w:rFonts w:hint="default" w:ascii="宋体" w:hAnsi="宋体" w:eastAsia="宋体" w:cs="宋体"/>
                <w:b/>
                <w:bCs/>
                <w:sz w:val="21"/>
                <w:szCs w:val="21"/>
                <w:lang w:val="en-US" w:eastAsia="zh-CN" w:bidi="zh-CN"/>
              </w:rPr>
              <w:t>）</w:t>
            </w:r>
            <w:r>
              <w:rPr>
                <w:rFonts w:hint="eastAsia" w:ascii="宋体" w:hAnsi="宋体" w:eastAsia="宋体" w:cs="宋体"/>
                <w:b/>
                <w:bCs/>
                <w:sz w:val="21"/>
                <w:szCs w:val="21"/>
                <w:lang w:val="en-US" w:eastAsia="zh-CN" w:bidi="zh-CN"/>
              </w:rPr>
              <w:t>：</w:t>
            </w:r>
          </w:p>
          <w:p>
            <w:pPr>
              <w:pStyle w:val="22"/>
              <w:keepNext w:val="0"/>
              <w:keepLines w:val="0"/>
              <w:pageBreakBefore w:val="0"/>
              <w:widowControl w:val="0"/>
              <w:numPr>
                <w:ilvl w:val="0"/>
                <w:numId w:val="0"/>
              </w:numPr>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leftChars="0" w:right="0" w:rightChars="0" w:firstLine="0" w:firstLineChars="0"/>
              <w:jc w:val="both"/>
              <w:textAlignment w:val="auto"/>
              <w:rPr>
                <w:rFonts w:hint="eastAsia" w:ascii="宋体" w:hAnsi="宋体" w:eastAsia="宋体" w:cs="宋体"/>
                <w:color w:val="auto"/>
                <w:sz w:val="21"/>
                <w:szCs w:val="21"/>
                <w:lang w:val="en-US" w:eastAsia="zh-CN" w:bidi="zh-CN"/>
              </w:rPr>
            </w:pPr>
            <w:r>
              <w:rPr>
                <w:rFonts w:hint="eastAsia" w:ascii="宋体" w:hAnsi="宋体" w:cs="宋体"/>
                <w:color w:val="auto"/>
                <w:sz w:val="21"/>
                <w:szCs w:val="21"/>
                <w:lang w:val="en-US" w:eastAsia="zh-CN" w:bidi="zh-CN"/>
              </w:rPr>
              <w:t>1、现浇钢筋混凝土楼板底基层清理干净，漏浆及板缝不平整的地方用砂轮机打磨平整</w:t>
            </w:r>
            <w:r>
              <w:rPr>
                <w:rFonts w:hint="eastAsia" w:ascii="宋体" w:hAnsi="宋体" w:eastAsia="宋体" w:cs="宋体"/>
                <w:color w:val="auto"/>
                <w:sz w:val="21"/>
                <w:szCs w:val="21"/>
                <w:lang w:val="en-US" w:eastAsia="zh-CN" w:bidi="zh-CN"/>
              </w:rPr>
              <w:t>；</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2、素水泥浆一道；</w:t>
            </w:r>
          </w:p>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z w:val="21"/>
                <w:szCs w:val="21"/>
                <w:lang w:val="en-US" w:eastAsia="zh-CN" w:bidi="zh-CN"/>
              </w:rPr>
            </w:pPr>
            <w:r>
              <w:rPr>
                <w:rFonts w:hint="eastAsia" w:ascii="宋体" w:hAnsi="宋体" w:eastAsia="宋体" w:cs="宋体"/>
                <w:color w:val="auto"/>
                <w:sz w:val="21"/>
                <w:szCs w:val="21"/>
                <w:lang w:val="en-US" w:eastAsia="zh-CN" w:bidi="zh-CN"/>
              </w:rPr>
              <w:t>3、3厚腻子分两遍刮平；</w:t>
            </w:r>
          </w:p>
          <w:p>
            <w:pPr>
              <w:keepNext w:val="0"/>
              <w:keepLines w:val="0"/>
              <w:suppressLineNumbers w:val="0"/>
              <w:shd w:val="clear"/>
              <w:adjustRightInd w:val="0"/>
              <w:snapToGrid w:val="0"/>
              <w:spacing w:before="0" w:beforeAutospacing="0" w:after="0" w:afterAutospacing="0" w:line="240" w:lineRule="auto"/>
              <w:ind w:left="0" w:right="0"/>
              <w:rPr>
                <w:rStyle w:val="244"/>
                <w:rFonts w:hint="default"/>
                <w:color w:val="FF0000"/>
                <w:spacing w:val="6"/>
                <w:sz w:val="21"/>
                <w:szCs w:val="21"/>
                <w:lang w:val="en-US" w:eastAsia="zh-CN"/>
              </w:rPr>
            </w:pPr>
            <w:r>
              <w:rPr>
                <w:rFonts w:hint="eastAsia" w:ascii="宋体" w:hAnsi="宋体" w:eastAsia="宋体" w:cs="宋体"/>
                <w:color w:val="auto"/>
                <w:sz w:val="21"/>
                <w:szCs w:val="21"/>
                <w:lang w:val="en-US" w:eastAsia="zh-CN" w:bidi="zh-CN"/>
              </w:rPr>
              <w:t>4、白色无机内墙涂料2道。</w:t>
            </w:r>
          </w:p>
        </w:tc>
      </w:tr>
    </w:tbl>
    <w:p>
      <w:pPr>
        <w:pStyle w:val="7"/>
        <w:shd w:val="clear"/>
        <w:bidi w:val="0"/>
      </w:pPr>
      <w:r>
        <w:rPr>
          <w:rFonts w:hint="eastAsia"/>
          <w:lang w:val="en-US" w:eastAsia="zh-CN"/>
        </w:rPr>
        <w:t>2、</w:t>
      </w:r>
      <w:r>
        <w:rPr>
          <w:rFonts w:hint="eastAsia"/>
        </w:rPr>
        <w:t>基</w:t>
      </w:r>
      <w:r>
        <w:rPr>
          <w:rFonts w:hint="eastAsia"/>
          <w:lang w:eastAsia="zh-CN"/>
        </w:rPr>
        <w:t>础</w:t>
      </w:r>
      <w:r>
        <w:rPr>
          <w:rFonts w:hint="eastAsia"/>
        </w:rPr>
        <w:t>工程设计概况表</w:t>
      </w:r>
    </w:p>
    <w:tbl>
      <w:tblPr>
        <w:tblStyle w:val="54"/>
        <w:tblW w:w="973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2379"/>
        <w:gridCol w:w="1278"/>
        <w:gridCol w:w="2127"/>
        <w:gridCol w:w="3948"/>
      </w:tblGrid>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b/>
                <w:bCs/>
                <w:spacing w:val="6"/>
                <w:sz w:val="21"/>
                <w:szCs w:val="21"/>
              </w:rPr>
            </w:pPr>
            <w:r>
              <w:rPr>
                <w:rFonts w:hint="eastAsia"/>
                <w:b/>
                <w:bCs/>
                <w:spacing w:val="6"/>
                <w:sz w:val="21"/>
                <w:szCs w:val="21"/>
              </w:rPr>
              <w:t>项  目</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eastAsia="宋体"/>
                <w:b/>
                <w:bCs/>
                <w:spacing w:val="6"/>
                <w:sz w:val="21"/>
                <w:szCs w:val="21"/>
                <w:lang w:eastAsia="zh-CN"/>
              </w:rPr>
            </w:pPr>
            <w:r>
              <w:rPr>
                <w:rFonts w:hint="eastAsia"/>
                <w:b/>
                <w:bCs/>
                <w:spacing w:val="6"/>
                <w:sz w:val="21"/>
                <w:szCs w:val="21"/>
              </w:rPr>
              <w:t>内       容</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桩类型</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default"/>
                <w:color w:val="auto"/>
                <w:spacing w:val="6"/>
                <w:sz w:val="21"/>
                <w:szCs w:val="21"/>
                <w:highlight w:val="none"/>
                <w:lang w:val="en-US"/>
              </w:rPr>
            </w:pPr>
            <w:r>
              <w:rPr>
                <w:rFonts w:hint="eastAsia"/>
                <w:color w:val="auto"/>
                <w:spacing w:val="6"/>
                <w:sz w:val="21"/>
                <w:szCs w:val="21"/>
                <w:highlight w:val="none"/>
                <w:lang w:val="en-US" w:eastAsia="zh-CN"/>
              </w:rPr>
              <w:t>预应力离心混凝土空心方桩</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基础</w:t>
            </w:r>
            <w:r>
              <w:rPr>
                <w:spacing w:val="6"/>
                <w:sz w:val="21"/>
                <w:szCs w:val="21"/>
              </w:rPr>
              <w:t>形式</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color w:val="auto"/>
                <w:spacing w:val="6"/>
                <w:sz w:val="21"/>
                <w:szCs w:val="21"/>
                <w:highlight w:val="none"/>
              </w:rPr>
              <w:t>承台</w:t>
            </w:r>
            <w:r>
              <w:rPr>
                <w:rFonts w:hint="eastAsia"/>
                <w:color w:val="auto"/>
                <w:spacing w:val="6"/>
                <w:sz w:val="21"/>
                <w:szCs w:val="21"/>
                <w:highlight w:val="none"/>
              </w:rPr>
              <w:t>、筏板</w:t>
            </w:r>
          </w:p>
        </w:tc>
      </w:tr>
      <w:tr>
        <w:trPr>
          <w:trHeight w:val="454" w:hRule="atLeast"/>
          <w:jc w:val="center"/>
        </w:trPr>
        <w:tc>
          <w:tcPr>
            <w:tcW w:w="237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spacing w:val="6"/>
                <w:sz w:val="21"/>
                <w:szCs w:val="21"/>
              </w:rPr>
              <w:t>支护形式</w:t>
            </w:r>
          </w:p>
        </w:tc>
        <w:tc>
          <w:tcPr>
            <w:tcW w:w="7353" w:type="dxa"/>
            <w:gridSpan w:val="3"/>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PC工法组合钢管桩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拉森钢板桩</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SMW工法桩加设</w:t>
            </w:r>
            <w:r>
              <w:rPr>
                <w:rFonts w:hint="eastAsia" w:ascii="宋体" w:hAnsi="宋体" w:eastAsia="宋体" w:cs="宋体"/>
                <w:color w:val="auto"/>
                <w:sz w:val="21"/>
                <w:szCs w:val="21"/>
                <w:highlight w:val="none"/>
              </w:rPr>
              <w:t>一道</w:t>
            </w:r>
            <w:r>
              <w:rPr>
                <w:rFonts w:hint="eastAsia" w:ascii="宋体" w:hAnsi="宋体" w:cs="宋体"/>
                <w:color w:val="auto"/>
                <w:sz w:val="21"/>
                <w:szCs w:val="21"/>
                <w:highlight w:val="none"/>
                <w:lang w:val="en-US" w:eastAsia="zh-CN"/>
              </w:rPr>
              <w:t>混凝土</w:t>
            </w:r>
            <w:r>
              <w:rPr>
                <w:rFonts w:hint="eastAsia" w:ascii="宋体" w:hAnsi="宋体" w:eastAsia="宋体" w:cs="宋体"/>
                <w:color w:val="auto"/>
                <w:sz w:val="21"/>
                <w:szCs w:val="21"/>
                <w:highlight w:val="none"/>
              </w:rPr>
              <w:t>支撑</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桩基</w:t>
            </w:r>
            <w:r>
              <w:rPr>
                <w:spacing w:val="6"/>
                <w:sz w:val="21"/>
                <w:szCs w:val="21"/>
              </w:rPr>
              <w:t>设计等级</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lang w:val="en-US" w:eastAsia="zh-CN"/>
              </w:rPr>
              <w:t>乙</w:t>
            </w:r>
            <w:r>
              <w:rPr>
                <w:color w:val="auto"/>
                <w:spacing w:val="6"/>
                <w:sz w:val="21"/>
                <w:szCs w:val="21"/>
                <w:highlight w:val="none"/>
              </w:rPr>
              <w:t>级</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地基</w:t>
            </w:r>
            <w:r>
              <w:rPr>
                <w:spacing w:val="6"/>
                <w:sz w:val="21"/>
                <w:szCs w:val="21"/>
              </w:rPr>
              <w:t>基础设计等级</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lang w:val="en-US" w:eastAsia="zh-CN"/>
              </w:rPr>
              <w:t>乙</w:t>
            </w:r>
            <w:r>
              <w:rPr>
                <w:color w:val="auto"/>
                <w:spacing w:val="6"/>
                <w:sz w:val="21"/>
                <w:szCs w:val="21"/>
                <w:highlight w:val="none"/>
              </w:rPr>
              <w:t>级</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桩</w:t>
            </w:r>
            <w:r>
              <w:rPr>
                <w:color w:val="auto"/>
                <w:spacing w:val="6"/>
                <w:sz w:val="21"/>
                <w:szCs w:val="21"/>
              </w:rPr>
              <w:t>的采用</w:t>
            </w:r>
          </w:p>
        </w:tc>
        <w:tc>
          <w:tcPr>
            <w:tcW w:w="7353" w:type="dxa"/>
            <w:gridSpan w:val="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边长500mm预应力离心混凝土空心方桩</w:t>
            </w:r>
            <w:r>
              <w:rPr>
                <w:rFonts w:hint="eastAsia"/>
                <w:color w:val="auto"/>
                <w:spacing w:val="6"/>
                <w:sz w:val="21"/>
                <w:szCs w:val="21"/>
                <w:highlight w:val="none"/>
                <w:lang w:eastAsia="zh-CN"/>
              </w:rPr>
              <w:t>，桩长</w:t>
            </w:r>
            <w:r>
              <w:rPr>
                <w:rFonts w:hint="eastAsia"/>
                <w:color w:val="auto"/>
                <w:spacing w:val="6"/>
                <w:sz w:val="21"/>
                <w:szCs w:val="21"/>
                <w:highlight w:val="none"/>
                <w:lang w:val="en-US" w:eastAsia="zh-CN"/>
              </w:rPr>
              <w:t>51米</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自然地坪标高</w:t>
            </w:r>
          </w:p>
        </w:tc>
        <w:tc>
          <w:tcPr>
            <w:tcW w:w="1278"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rPr>
              <w:t>-</w:t>
            </w:r>
            <w:r>
              <w:rPr>
                <w:rFonts w:hint="eastAsia"/>
                <w:color w:val="auto"/>
                <w:spacing w:val="6"/>
                <w:sz w:val="21"/>
                <w:szCs w:val="21"/>
                <w:highlight w:val="none"/>
                <w:lang w:val="en-US" w:eastAsia="zh-CN"/>
              </w:rPr>
              <w:t>0.35</w:t>
            </w:r>
            <w:r>
              <w:rPr>
                <w:color w:val="auto"/>
                <w:spacing w:val="6"/>
                <w:sz w:val="21"/>
                <w:szCs w:val="21"/>
                <w:highlight w:val="none"/>
              </w:rPr>
              <w:t>m</w:t>
            </w:r>
          </w:p>
        </w:tc>
        <w:tc>
          <w:tcPr>
            <w:tcW w:w="2127"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rPr>
              <w:t>±</w:t>
            </w:r>
            <w:r>
              <w:rPr>
                <w:color w:val="auto"/>
                <w:spacing w:val="6"/>
                <w:sz w:val="21"/>
                <w:szCs w:val="21"/>
                <w:highlight w:val="none"/>
              </w:rPr>
              <w:t>0.000标高</w:t>
            </w:r>
          </w:p>
        </w:tc>
        <w:tc>
          <w:tcPr>
            <w:tcW w:w="3948"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rPr>
              <w:t>85高程</w:t>
            </w:r>
            <w:r>
              <w:rPr>
                <w:rFonts w:hint="eastAsia"/>
                <w:color w:val="auto"/>
                <w:spacing w:val="6"/>
                <w:sz w:val="21"/>
                <w:szCs w:val="21"/>
                <w:highlight w:val="none"/>
                <w:lang w:val="en-US" w:eastAsia="zh-CN"/>
              </w:rPr>
              <w:t>3.350</w:t>
            </w:r>
            <w:r>
              <w:rPr>
                <w:color w:val="auto"/>
                <w:spacing w:val="6"/>
                <w:sz w:val="21"/>
                <w:szCs w:val="21"/>
                <w:highlight w:val="none"/>
              </w:rPr>
              <w:t>m</w:t>
            </w:r>
          </w:p>
        </w:tc>
      </w:tr>
      <w:tr>
        <w:trPr>
          <w:trHeight w:val="454" w:hRule="atLeast"/>
          <w:jc w:val="center"/>
        </w:trPr>
        <w:tc>
          <w:tcPr>
            <w:tcW w:w="2379"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抗浮</w:t>
            </w:r>
            <w:r>
              <w:rPr>
                <w:color w:val="auto"/>
                <w:spacing w:val="6"/>
                <w:sz w:val="21"/>
                <w:szCs w:val="21"/>
              </w:rPr>
              <w:t>设计水位</w:t>
            </w:r>
          </w:p>
        </w:tc>
        <w:tc>
          <w:tcPr>
            <w:tcW w:w="1278"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default" w:eastAsia="宋体"/>
                <w:color w:val="auto"/>
                <w:spacing w:val="6"/>
                <w:sz w:val="21"/>
                <w:szCs w:val="21"/>
                <w:highlight w:val="none"/>
                <w:lang w:val="en-US" w:eastAsia="zh-CN"/>
              </w:rPr>
            </w:pPr>
            <w:r>
              <w:rPr>
                <w:rFonts w:hint="eastAsia"/>
                <w:color w:val="auto"/>
                <w:spacing w:val="6"/>
                <w:sz w:val="21"/>
                <w:szCs w:val="21"/>
                <w:highlight w:val="none"/>
                <w:lang w:val="en-US" w:eastAsia="zh-CN"/>
              </w:rPr>
              <w:t>-0.15m</w:t>
            </w:r>
          </w:p>
        </w:tc>
        <w:tc>
          <w:tcPr>
            <w:tcW w:w="2127"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r>
              <w:rPr>
                <w:rFonts w:hint="eastAsia"/>
                <w:color w:val="auto"/>
                <w:spacing w:val="6"/>
                <w:sz w:val="21"/>
                <w:szCs w:val="21"/>
                <w:highlight w:val="none"/>
              </w:rPr>
              <w:t>最低</w:t>
            </w:r>
            <w:r>
              <w:rPr>
                <w:color w:val="auto"/>
                <w:spacing w:val="6"/>
                <w:sz w:val="21"/>
                <w:szCs w:val="21"/>
                <w:highlight w:val="none"/>
              </w:rPr>
              <w:t>水位</w:t>
            </w:r>
          </w:p>
        </w:tc>
        <w:tc>
          <w:tcPr>
            <w:tcW w:w="3948"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eastAsia" w:eastAsia="宋体"/>
                <w:color w:val="auto"/>
                <w:spacing w:val="6"/>
                <w:sz w:val="21"/>
                <w:szCs w:val="21"/>
                <w:highlight w:val="none"/>
                <w:lang w:val="en-US" w:eastAsia="zh-CN"/>
              </w:rPr>
            </w:pPr>
            <w:r>
              <w:rPr>
                <w:rFonts w:hint="eastAsia"/>
                <w:color w:val="auto"/>
                <w:spacing w:val="6"/>
                <w:sz w:val="21"/>
                <w:szCs w:val="21"/>
                <w:highlight w:val="none"/>
                <w:lang w:val="en-US" w:eastAsia="zh-CN"/>
              </w:rPr>
              <w:t>/</w:t>
            </w:r>
          </w:p>
        </w:tc>
      </w:tr>
    </w:tbl>
    <w:p>
      <w:pPr>
        <w:pStyle w:val="7"/>
        <w:shd w:val="clear"/>
        <w:bidi w:val="0"/>
        <w:rPr>
          <w:rFonts w:hint="default"/>
          <w:lang w:val="en-US"/>
        </w:rPr>
      </w:pPr>
      <w:r>
        <w:rPr>
          <w:rFonts w:hint="eastAsia"/>
          <w:lang w:val="en-US" w:eastAsia="zh-CN"/>
        </w:rPr>
        <w:t>3、</w:t>
      </w:r>
      <w:r>
        <w:rPr>
          <w:lang w:val="en-US"/>
        </w:rPr>
        <w:t>结构设计概况表</w:t>
      </w:r>
    </w:p>
    <w:tbl>
      <w:tblPr>
        <w:tblStyle w:val="54"/>
        <w:tblW w:w="972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464"/>
        <w:gridCol w:w="1252"/>
        <w:gridCol w:w="473"/>
        <w:gridCol w:w="476"/>
        <w:gridCol w:w="949"/>
        <w:gridCol w:w="222"/>
        <w:gridCol w:w="309"/>
        <w:gridCol w:w="418"/>
        <w:gridCol w:w="467"/>
        <w:gridCol w:w="482"/>
        <w:gridCol w:w="922"/>
        <w:gridCol w:w="27"/>
        <w:gridCol w:w="1084"/>
        <w:gridCol w:w="1184"/>
      </w:tblGrid>
      <w:tr>
        <w:trPr>
          <w:trHeight w:val="454" w:hRule="atLeast"/>
          <w:tblHeader/>
          <w:jc w:val="center"/>
        </w:trPr>
        <w:tc>
          <w:tcPr>
            <w:tcW w:w="1464" w:type="dxa"/>
            <w:tcBorders>
              <w:top w:val="single" w:color="auto" w:sz="12" w:space="0"/>
              <w:bottom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b/>
                <w:bCs/>
                <w:color w:val="auto"/>
                <w:spacing w:val="6"/>
                <w:sz w:val="21"/>
                <w:szCs w:val="21"/>
              </w:rPr>
            </w:pPr>
            <w:r>
              <w:rPr>
                <w:rFonts w:hint="eastAsia"/>
                <w:b/>
                <w:bCs/>
                <w:color w:val="auto"/>
                <w:spacing w:val="6"/>
                <w:sz w:val="21"/>
                <w:szCs w:val="21"/>
              </w:rPr>
              <w:t>项  目</w:t>
            </w:r>
          </w:p>
        </w:tc>
        <w:tc>
          <w:tcPr>
            <w:tcW w:w="8265" w:type="dxa"/>
            <w:gridSpan w:val="13"/>
            <w:tcBorders>
              <w:top w:val="single" w:color="auto" w:sz="12" w:space="0"/>
              <w:bottom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b/>
                <w:bCs/>
                <w:color w:val="auto"/>
                <w:spacing w:val="6"/>
                <w:sz w:val="21"/>
                <w:szCs w:val="21"/>
              </w:rPr>
            </w:pPr>
            <w:r>
              <w:rPr>
                <w:rFonts w:hint="eastAsia"/>
                <w:b/>
                <w:bCs/>
                <w:color w:val="auto"/>
                <w:spacing w:val="6"/>
                <w:sz w:val="21"/>
                <w:szCs w:val="21"/>
              </w:rPr>
              <w:t>内       容</w:t>
            </w:r>
          </w:p>
        </w:tc>
      </w:tr>
      <w:tr>
        <w:trPr>
          <w:trHeight w:val="454" w:hRule="atLeast"/>
          <w:jc w:val="center"/>
        </w:trPr>
        <w:tc>
          <w:tcPr>
            <w:tcW w:w="1464" w:type="dxa"/>
            <w:vMerge w:val="restart"/>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设计标准</w:t>
            </w:r>
          </w:p>
        </w:tc>
        <w:tc>
          <w:tcPr>
            <w:tcW w:w="8265" w:type="dxa"/>
            <w:gridSpan w:val="1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建筑结构安全等级为</w:t>
            </w:r>
            <w:r>
              <w:rPr>
                <w:rStyle w:val="244"/>
                <w:rFonts w:hint="eastAsia"/>
                <w:color w:val="auto"/>
                <w:spacing w:val="6"/>
                <w:sz w:val="21"/>
                <w:szCs w:val="21"/>
                <w:lang w:eastAsia="zh-CN"/>
              </w:rPr>
              <w:t>二</w:t>
            </w:r>
            <w:r>
              <w:rPr>
                <w:rStyle w:val="244"/>
                <w:rFonts w:hint="eastAsia"/>
                <w:color w:val="auto"/>
                <w:spacing w:val="6"/>
                <w:sz w:val="21"/>
                <w:szCs w:val="21"/>
              </w:rPr>
              <w:t>级</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p>
        </w:tc>
        <w:tc>
          <w:tcPr>
            <w:tcW w:w="8265" w:type="dxa"/>
            <w:gridSpan w:val="1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砌体施工质量控制等级为B级</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p>
        </w:tc>
        <w:tc>
          <w:tcPr>
            <w:tcW w:w="8265" w:type="dxa"/>
            <w:gridSpan w:val="1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抗震</w:t>
            </w:r>
            <w:r>
              <w:rPr>
                <w:rStyle w:val="244"/>
                <w:color w:val="auto"/>
                <w:spacing w:val="6"/>
                <w:sz w:val="21"/>
                <w:szCs w:val="21"/>
              </w:rPr>
              <w:t>设防烈度为</w:t>
            </w:r>
            <w:r>
              <w:rPr>
                <w:rStyle w:val="244"/>
                <w:rFonts w:hint="eastAsia"/>
                <w:color w:val="auto"/>
                <w:spacing w:val="6"/>
                <w:sz w:val="21"/>
                <w:szCs w:val="21"/>
                <w:lang w:val="en-US" w:eastAsia="zh-CN"/>
              </w:rPr>
              <w:t>7</w:t>
            </w:r>
            <w:r>
              <w:rPr>
                <w:rStyle w:val="244"/>
                <w:rFonts w:hint="eastAsia"/>
                <w:color w:val="auto"/>
                <w:spacing w:val="6"/>
                <w:sz w:val="21"/>
                <w:szCs w:val="21"/>
              </w:rPr>
              <w:t>度</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p>
        </w:tc>
        <w:tc>
          <w:tcPr>
            <w:tcW w:w="8265" w:type="dxa"/>
            <w:gridSpan w:val="1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抗震设防类别</w:t>
            </w:r>
            <w:r>
              <w:rPr>
                <w:rStyle w:val="244"/>
                <w:color w:val="auto"/>
                <w:spacing w:val="6"/>
                <w:sz w:val="21"/>
                <w:szCs w:val="21"/>
              </w:rPr>
              <w:t>为</w:t>
            </w:r>
            <w:r>
              <w:rPr>
                <w:rStyle w:val="244"/>
                <w:rFonts w:hint="eastAsia"/>
                <w:color w:val="auto"/>
                <w:spacing w:val="6"/>
                <w:sz w:val="21"/>
                <w:szCs w:val="21"/>
                <w:lang w:eastAsia="zh-CN"/>
              </w:rPr>
              <w:t>丙</w:t>
            </w:r>
            <w:r>
              <w:rPr>
                <w:rStyle w:val="244"/>
                <w:color w:val="auto"/>
                <w:spacing w:val="6"/>
                <w:sz w:val="21"/>
                <w:szCs w:val="21"/>
              </w:rPr>
              <w:t>类</w:t>
            </w:r>
          </w:p>
        </w:tc>
      </w:tr>
      <w:tr>
        <w:trPr>
          <w:trHeight w:val="454" w:hRule="atLeast"/>
          <w:jc w:val="center"/>
        </w:trPr>
        <w:tc>
          <w:tcPr>
            <w:tcW w:w="1464" w:type="dxa"/>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结构类型</w:t>
            </w:r>
          </w:p>
        </w:tc>
        <w:tc>
          <w:tcPr>
            <w:tcW w:w="8265" w:type="dxa"/>
            <w:gridSpan w:val="13"/>
            <w:tcBorders>
              <w:top w:val="single" w:color="auto" w:sz="6"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r>
              <w:rPr>
                <w:sz w:val="21"/>
                <w:szCs w:val="21"/>
              </w:rPr>
              <w:t>框架结构</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主要构件</w:t>
            </w:r>
          </w:p>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尺寸</w:t>
            </w:r>
          </w:p>
        </w:tc>
        <w:tc>
          <w:tcPr>
            <w:tcW w:w="1252"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eastAsia="宋体"/>
                <w:spacing w:val="6"/>
                <w:sz w:val="21"/>
                <w:szCs w:val="21"/>
                <w:lang w:eastAsia="zh-CN"/>
              </w:rPr>
            </w:pPr>
            <w:r>
              <w:rPr>
                <w:rFonts w:hint="eastAsia"/>
                <w:spacing w:val="6"/>
                <w:sz w:val="21"/>
                <w:szCs w:val="21"/>
                <w:lang w:eastAsia="zh-CN"/>
              </w:rPr>
              <w:t>基础</w:t>
            </w:r>
          </w:p>
        </w:tc>
        <w:tc>
          <w:tcPr>
            <w:tcW w:w="2120" w:type="dxa"/>
            <w:gridSpan w:val="4"/>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筏板厚度</w:t>
            </w:r>
          </w:p>
        </w:tc>
        <w:tc>
          <w:tcPr>
            <w:tcW w:w="4893" w:type="dxa"/>
            <w:gridSpan w:val="8"/>
            <w:shd w:val="clear" w:color="auto" w:fill="auto"/>
            <w:vAlign w:val="center"/>
          </w:tcPr>
          <w:p>
            <w:pPr>
              <w:keepNext w:val="0"/>
              <w:keepLines w:val="0"/>
              <w:suppressLineNumbers w:val="0"/>
              <w:shd w:val="clear"/>
              <w:snapToGrid w:val="0"/>
              <w:spacing w:before="0" w:beforeAutospacing="0" w:after="0" w:afterAutospacing="0" w:line="240" w:lineRule="auto"/>
              <w:ind w:left="0" w:right="0"/>
              <w:rPr>
                <w:rStyle w:val="244"/>
                <w:rFonts w:hint="eastAsia" w:ascii="宋体" w:hAnsi="宋体" w:eastAsia="宋体" w:cs="宋体"/>
                <w:color w:val="auto"/>
                <w:sz w:val="21"/>
                <w:szCs w:val="21"/>
                <w:lang w:eastAsia="zh-CN"/>
              </w:rPr>
            </w:pPr>
            <w:r>
              <w:rPr>
                <w:rStyle w:val="244"/>
                <w:rFonts w:hint="eastAsia" w:ascii="宋体" w:hAnsi="宋体" w:cs="宋体"/>
                <w:color w:val="auto"/>
                <w:sz w:val="21"/>
                <w:szCs w:val="21"/>
                <w:lang w:val="en-US" w:eastAsia="zh-CN"/>
              </w:rPr>
              <w:t>400</w:t>
            </w:r>
            <w:r>
              <w:rPr>
                <w:rStyle w:val="244"/>
                <w:rFonts w:hint="eastAsia" w:ascii="宋体" w:hAnsi="宋体" w:eastAsia="宋体" w:cs="宋体"/>
                <w:color w:val="auto"/>
                <w:sz w:val="21"/>
                <w:szCs w:val="21"/>
              </w:rPr>
              <w:t>mm</w:t>
            </w:r>
          </w:p>
        </w:tc>
      </w:tr>
      <w:tr>
        <w:trPr>
          <w:trHeight w:val="1246"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252"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2120" w:type="dxa"/>
            <w:gridSpan w:val="4"/>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eastAsia="宋体"/>
                <w:color w:val="auto"/>
                <w:spacing w:val="6"/>
                <w:sz w:val="21"/>
                <w:szCs w:val="21"/>
                <w:lang w:eastAsia="zh-CN"/>
              </w:rPr>
            </w:pPr>
            <w:r>
              <w:rPr>
                <w:rFonts w:hint="eastAsia"/>
                <w:color w:val="auto"/>
                <w:spacing w:val="6"/>
                <w:sz w:val="21"/>
                <w:szCs w:val="21"/>
                <w:lang w:eastAsia="zh-CN"/>
              </w:rPr>
              <w:t>承</w:t>
            </w:r>
            <w:r>
              <w:rPr>
                <w:rFonts w:hint="eastAsia"/>
                <w:color w:val="auto"/>
                <w:spacing w:val="6"/>
                <w:sz w:val="21"/>
                <w:szCs w:val="21"/>
                <w:lang w:val="en-US" w:eastAsia="zh-CN"/>
              </w:rPr>
              <w:t xml:space="preserve">  </w:t>
            </w:r>
            <w:r>
              <w:rPr>
                <w:rFonts w:hint="eastAsia"/>
                <w:color w:val="auto"/>
                <w:spacing w:val="6"/>
                <w:sz w:val="21"/>
                <w:szCs w:val="21"/>
                <w:lang w:eastAsia="zh-CN"/>
              </w:rPr>
              <w:t>台</w:t>
            </w:r>
          </w:p>
        </w:tc>
        <w:tc>
          <w:tcPr>
            <w:tcW w:w="4893" w:type="dxa"/>
            <w:gridSpan w:val="8"/>
            <w:shd w:val="clear" w:color="auto" w:fill="auto"/>
            <w:vAlign w:val="center"/>
          </w:tcPr>
          <w:p>
            <w:pPr>
              <w:keepNext w:val="0"/>
              <w:keepLines w:val="0"/>
              <w:suppressLineNumbers w:val="0"/>
              <w:shd w:val="clear"/>
              <w:bidi w:val="0"/>
              <w:spacing w:before="0" w:beforeAutospacing="0" w:after="0" w:afterAutospacing="0" w:line="240" w:lineRule="auto"/>
              <w:ind w:left="0" w:right="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×1500</w:t>
            </w:r>
            <w:r>
              <w:rPr>
                <w:rFonts w:hint="eastAsia" w:ascii="宋体" w:hAnsi="宋体" w:eastAsia="宋体" w:cs="宋体"/>
                <w:color w:val="auto"/>
                <w:spacing w:val="6"/>
                <w:sz w:val="21"/>
                <w:szCs w:val="21"/>
                <w:lang w:eastAsia="zh-CN"/>
              </w:rPr>
              <w:t>㎜</w:t>
            </w:r>
          </w:p>
          <w:p>
            <w:pPr>
              <w:keepNext w:val="0"/>
              <w:keepLines w:val="0"/>
              <w:suppressLineNumbers w:val="0"/>
              <w:shd w:val="clear"/>
              <w:bidi w:val="0"/>
              <w:spacing w:before="0" w:beforeAutospacing="0" w:after="0" w:afterAutospacing="0" w:line="240" w:lineRule="auto"/>
              <w:ind w:left="0" w:right="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30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×1500</w:t>
            </w:r>
            <w:r>
              <w:rPr>
                <w:rFonts w:hint="eastAsia" w:ascii="宋体" w:hAnsi="宋体" w:eastAsia="宋体" w:cs="宋体"/>
                <w:color w:val="auto"/>
                <w:spacing w:val="6"/>
                <w:sz w:val="21"/>
                <w:szCs w:val="21"/>
                <w:lang w:eastAsia="zh-CN"/>
              </w:rPr>
              <w:t>㎜</w:t>
            </w:r>
          </w:p>
          <w:p>
            <w:pPr>
              <w:keepNext w:val="0"/>
              <w:keepLines w:val="0"/>
              <w:suppressLineNumbers w:val="0"/>
              <w:shd w:val="clear"/>
              <w:bidi w:val="0"/>
              <w:spacing w:before="0" w:beforeAutospacing="0" w:after="0" w:afterAutospacing="0" w:line="240" w:lineRule="auto"/>
              <w:ind w:left="0" w:right="0"/>
              <w:rPr>
                <w:rFonts w:hint="eastAsia" w:ascii="宋体" w:hAnsi="宋体" w:eastAsia="宋体" w:cs="宋体"/>
                <w:color w:val="auto"/>
                <w:sz w:val="21"/>
                <w:szCs w:val="21"/>
              </w:rPr>
            </w:pPr>
            <w:r>
              <w:rPr>
                <w:rFonts w:hint="eastAsia" w:ascii="宋体" w:hAnsi="宋体" w:cs="宋体"/>
                <w:color w:val="auto"/>
                <w:sz w:val="21"/>
                <w:szCs w:val="21"/>
                <w:lang w:val="en-US" w:eastAsia="zh-CN"/>
              </w:rPr>
              <w:t>27</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30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×1500</w:t>
            </w:r>
            <w:r>
              <w:rPr>
                <w:rFonts w:hint="eastAsia" w:ascii="宋体" w:hAnsi="宋体" w:eastAsia="宋体" w:cs="宋体"/>
                <w:color w:val="auto"/>
                <w:spacing w:val="6"/>
                <w:sz w:val="21"/>
                <w:szCs w:val="21"/>
                <w:lang w:eastAsia="zh-CN"/>
              </w:rPr>
              <w:t>㎜</w:t>
            </w:r>
          </w:p>
          <w:p>
            <w:pPr>
              <w:keepNext w:val="0"/>
              <w:keepLines w:val="0"/>
              <w:suppressLineNumbers w:val="0"/>
              <w:shd w:val="clear"/>
              <w:bidi w:val="0"/>
              <w:spacing w:before="0" w:beforeAutospacing="0" w:after="0" w:afterAutospacing="0" w:line="240" w:lineRule="auto"/>
              <w:ind w:left="0" w:right="0"/>
              <w:rPr>
                <w:rFonts w:hint="eastAsia" w:ascii="宋体" w:hAnsi="宋体" w:eastAsia="宋体" w:cs="宋体"/>
                <w:color w:val="auto"/>
                <w:spacing w:val="6"/>
                <w:sz w:val="21"/>
                <w:szCs w:val="21"/>
                <w:lang w:val="en-US" w:eastAsia="zh-CN"/>
              </w:rPr>
            </w:pPr>
            <w:r>
              <w:rPr>
                <w:rFonts w:hint="eastAsia" w:ascii="宋体" w:hAnsi="宋体" w:cs="宋体"/>
                <w:color w:val="auto"/>
                <w:sz w:val="21"/>
                <w:szCs w:val="21"/>
                <w:lang w:val="en-US" w:eastAsia="zh-CN"/>
              </w:rPr>
              <w:t>448</w:t>
            </w:r>
            <w:r>
              <w:rPr>
                <w:rFonts w:hint="eastAsia" w:ascii="宋体" w:hAnsi="宋体" w:eastAsia="宋体" w:cs="宋体"/>
                <w:color w:val="auto"/>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30</w:t>
            </w:r>
            <w:r>
              <w:rPr>
                <w:rFonts w:hint="eastAsia" w:ascii="宋体" w:hAnsi="宋体" w:eastAsia="宋体" w:cs="宋体"/>
                <w:color w:val="auto"/>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×1500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eastAsia="zh-CN"/>
              </w:rPr>
              <w:t>等</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252"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eastAsia="宋体"/>
                <w:spacing w:val="6"/>
                <w:sz w:val="21"/>
                <w:szCs w:val="21"/>
                <w:lang w:eastAsia="zh-CN"/>
              </w:rPr>
            </w:pPr>
            <w:r>
              <w:rPr>
                <w:rFonts w:hint="eastAsia"/>
                <w:spacing w:val="6"/>
                <w:sz w:val="21"/>
                <w:szCs w:val="21"/>
                <w:lang w:eastAsia="zh-CN"/>
              </w:rPr>
              <w:t>上部</w:t>
            </w:r>
          </w:p>
        </w:tc>
        <w:tc>
          <w:tcPr>
            <w:tcW w:w="2120" w:type="dxa"/>
            <w:gridSpan w:val="4"/>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Style w:val="244"/>
                <w:rFonts w:hint="eastAsia"/>
                <w:color w:val="auto"/>
                <w:spacing w:val="6"/>
                <w:sz w:val="21"/>
                <w:szCs w:val="21"/>
              </w:rPr>
              <w:t>框架柱</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eastAsia" w:ascii="宋体" w:hAnsi="宋体" w:eastAsia="宋体" w:cs="宋体"/>
                <w:color w:val="auto"/>
                <w:spacing w:val="6"/>
                <w:sz w:val="21"/>
                <w:szCs w:val="21"/>
              </w:rPr>
            </w:pPr>
            <w:r>
              <w:rPr>
                <w:rFonts w:hint="eastAsia" w:ascii="宋体" w:hAnsi="宋体" w:cs="宋体"/>
                <w:color w:val="auto"/>
                <w:spacing w:val="6"/>
                <w:sz w:val="21"/>
                <w:szCs w:val="21"/>
                <w:lang w:val="en-US" w:eastAsia="zh-CN"/>
              </w:rPr>
              <w:t>1000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10</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80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80</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90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9</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70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70</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65</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60</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6</w:t>
            </w:r>
            <w:r>
              <w:rPr>
                <w:rFonts w:hint="eastAsia" w:ascii="宋体" w:hAnsi="宋体" w:cs="宋体"/>
                <w:color w:val="auto"/>
                <w:spacing w:val="6"/>
                <w:sz w:val="21"/>
                <w:szCs w:val="21"/>
                <w:lang w:val="en-US" w:eastAsia="zh-CN"/>
              </w:rPr>
              <w:t>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6</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60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5</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50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50</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rPr>
              <w:t>等</w:t>
            </w:r>
          </w:p>
        </w:tc>
      </w:tr>
      <w:tr>
        <w:trPr>
          <w:trHeight w:val="1451"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252"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2120" w:type="dxa"/>
            <w:gridSpan w:val="4"/>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Style w:val="244"/>
                <w:rFonts w:hint="eastAsia"/>
                <w:color w:val="auto"/>
                <w:spacing w:val="6"/>
                <w:sz w:val="21"/>
                <w:szCs w:val="21"/>
              </w:rPr>
              <w:t>梁</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ascii="宋体" w:hAnsi="宋体" w:eastAsia="宋体" w:cs="宋体"/>
                <w:color w:val="auto"/>
                <w:spacing w:val="6"/>
                <w:sz w:val="21"/>
                <w:szCs w:val="21"/>
              </w:rPr>
            </w:pPr>
            <w:r>
              <w:rPr>
                <w:rFonts w:hint="eastAsia" w:ascii="宋体" w:hAnsi="宋体" w:cs="宋体"/>
                <w:b/>
                <w:bCs/>
                <w:color w:val="auto"/>
                <w:spacing w:val="6"/>
                <w:sz w:val="21"/>
                <w:szCs w:val="21"/>
                <w:lang w:val="en-US" w:eastAsia="zh-CN"/>
              </w:rPr>
              <w:t>600</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pacing w:val="6"/>
                <w:sz w:val="21"/>
                <w:szCs w:val="21"/>
              </w:rPr>
              <w:t>1</w:t>
            </w:r>
            <w:r>
              <w:rPr>
                <w:rFonts w:hint="eastAsia" w:ascii="宋体" w:hAnsi="宋体" w:cs="宋体"/>
                <w:b/>
                <w:bCs/>
                <w:color w:val="auto"/>
                <w:spacing w:val="6"/>
                <w:sz w:val="21"/>
                <w:szCs w:val="21"/>
                <w:lang w:val="en-US" w:eastAsia="zh-CN"/>
              </w:rPr>
              <w:t>2</w:t>
            </w:r>
            <w:r>
              <w:rPr>
                <w:rFonts w:hint="eastAsia" w:ascii="宋体" w:hAnsi="宋体" w:eastAsia="宋体" w:cs="宋体"/>
                <w:b/>
                <w:bCs/>
                <w:color w:val="auto"/>
                <w:spacing w:val="6"/>
                <w:sz w:val="21"/>
                <w:szCs w:val="21"/>
                <w:lang w:val="en-US" w:eastAsia="zh-CN"/>
              </w:rPr>
              <w:t>00</w:t>
            </w:r>
            <w:r>
              <w:rPr>
                <w:rFonts w:hint="eastAsia" w:ascii="宋体" w:hAnsi="宋体" w:eastAsia="宋体" w:cs="宋体"/>
                <w:b/>
                <w:bCs/>
                <w:color w:val="auto"/>
                <w:spacing w:val="6"/>
                <w:sz w:val="21"/>
                <w:szCs w:val="21"/>
                <w:lang w:eastAsia="zh-CN"/>
              </w:rPr>
              <w:t>㎜</w:t>
            </w:r>
            <w:r>
              <w:rPr>
                <w:rFonts w:hint="eastAsia" w:ascii="宋体" w:hAnsi="宋体" w:cs="宋体"/>
                <w:b/>
                <w:bCs/>
                <w:color w:val="auto"/>
                <w:spacing w:val="6"/>
                <w:sz w:val="21"/>
                <w:szCs w:val="21"/>
                <w:lang w:eastAsia="zh-CN"/>
              </w:rPr>
              <w:t>、</w:t>
            </w:r>
            <w:r>
              <w:rPr>
                <w:rFonts w:hint="eastAsia" w:ascii="宋体" w:hAnsi="宋体" w:cs="宋体"/>
                <w:b/>
                <w:bCs/>
                <w:color w:val="auto"/>
                <w:spacing w:val="6"/>
                <w:sz w:val="21"/>
                <w:szCs w:val="21"/>
                <w:lang w:val="en-US" w:eastAsia="zh-CN"/>
              </w:rPr>
              <w:t>400</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pacing w:val="6"/>
                <w:sz w:val="21"/>
                <w:szCs w:val="21"/>
              </w:rPr>
              <w:t>1</w:t>
            </w:r>
            <w:r>
              <w:rPr>
                <w:rFonts w:hint="eastAsia" w:ascii="宋体" w:hAnsi="宋体" w:cs="宋体"/>
                <w:b/>
                <w:bCs/>
                <w:color w:val="auto"/>
                <w:spacing w:val="6"/>
                <w:sz w:val="21"/>
                <w:szCs w:val="21"/>
                <w:lang w:val="en-US" w:eastAsia="zh-CN"/>
              </w:rPr>
              <w:t>25</w:t>
            </w:r>
            <w:r>
              <w:rPr>
                <w:rFonts w:hint="eastAsia" w:ascii="宋体" w:hAnsi="宋体" w:eastAsia="宋体" w:cs="宋体"/>
                <w:b/>
                <w:bCs/>
                <w:color w:val="auto"/>
                <w:spacing w:val="6"/>
                <w:sz w:val="21"/>
                <w:szCs w:val="21"/>
                <w:lang w:val="en-US" w:eastAsia="zh-CN"/>
              </w:rPr>
              <w:t>0</w:t>
            </w:r>
            <w:r>
              <w:rPr>
                <w:rFonts w:hint="eastAsia" w:ascii="宋体" w:hAnsi="宋体" w:eastAsia="宋体" w:cs="宋体"/>
                <w:b/>
                <w:bCs/>
                <w:color w:val="auto"/>
                <w:spacing w:val="6"/>
                <w:sz w:val="21"/>
                <w:szCs w:val="21"/>
                <w:lang w:eastAsia="zh-CN"/>
              </w:rPr>
              <w:t>㎜</w:t>
            </w:r>
            <w:r>
              <w:rPr>
                <w:rFonts w:hint="eastAsia" w:ascii="宋体" w:hAnsi="宋体" w:cs="宋体"/>
                <w:b/>
                <w:bCs/>
                <w:color w:val="auto"/>
                <w:spacing w:val="6"/>
                <w:sz w:val="21"/>
                <w:szCs w:val="21"/>
                <w:lang w:eastAsia="zh-CN"/>
              </w:rPr>
              <w:t>、</w:t>
            </w:r>
            <w:r>
              <w:rPr>
                <w:rFonts w:hint="eastAsia" w:ascii="宋体" w:hAnsi="宋体" w:cs="宋体"/>
                <w:b/>
                <w:bCs/>
                <w:color w:val="auto"/>
                <w:spacing w:val="6"/>
                <w:sz w:val="21"/>
                <w:szCs w:val="21"/>
                <w:lang w:val="en-US" w:eastAsia="zh-CN"/>
              </w:rPr>
              <w:t>400</w:t>
            </w:r>
            <w:r>
              <w:rPr>
                <w:rFonts w:hint="eastAsia" w:ascii="宋体" w:hAnsi="宋体" w:eastAsia="宋体" w:cs="宋体"/>
                <w:b/>
                <w:bCs/>
                <w:color w:val="auto"/>
                <w:sz w:val="21"/>
                <w:szCs w:val="21"/>
                <w:lang w:val="en-US" w:eastAsia="zh-CN"/>
              </w:rPr>
              <w:t>×</w:t>
            </w:r>
            <w:r>
              <w:rPr>
                <w:rFonts w:hint="eastAsia" w:ascii="宋体" w:hAnsi="宋体" w:eastAsia="宋体" w:cs="宋体"/>
                <w:b/>
                <w:bCs/>
                <w:color w:val="auto"/>
                <w:spacing w:val="6"/>
                <w:sz w:val="21"/>
                <w:szCs w:val="21"/>
              </w:rPr>
              <w:t>1</w:t>
            </w:r>
            <w:r>
              <w:rPr>
                <w:rFonts w:hint="eastAsia" w:ascii="宋体" w:hAnsi="宋体" w:cs="宋体"/>
                <w:b/>
                <w:bCs/>
                <w:color w:val="auto"/>
                <w:spacing w:val="6"/>
                <w:sz w:val="21"/>
                <w:szCs w:val="21"/>
                <w:lang w:val="en-US" w:eastAsia="zh-CN"/>
              </w:rPr>
              <w:t>2</w:t>
            </w:r>
            <w:r>
              <w:rPr>
                <w:rFonts w:hint="eastAsia" w:ascii="宋体" w:hAnsi="宋体" w:eastAsia="宋体" w:cs="宋体"/>
                <w:b/>
                <w:bCs/>
                <w:color w:val="auto"/>
                <w:spacing w:val="6"/>
                <w:sz w:val="21"/>
                <w:szCs w:val="21"/>
                <w:lang w:val="en-US" w:eastAsia="zh-CN"/>
              </w:rPr>
              <w:t>00</w:t>
            </w:r>
            <w:r>
              <w:rPr>
                <w:rFonts w:hint="eastAsia" w:ascii="宋体" w:hAnsi="宋体" w:eastAsia="宋体" w:cs="宋体"/>
                <w:b/>
                <w:bCs/>
                <w:color w:val="auto"/>
                <w:spacing w:val="6"/>
                <w:sz w:val="21"/>
                <w:szCs w:val="21"/>
                <w:lang w:eastAsia="zh-CN"/>
              </w:rPr>
              <w:t>㎜</w:t>
            </w:r>
            <w:r>
              <w:rPr>
                <w:rFonts w:hint="eastAsia" w:ascii="宋体" w:hAnsi="宋体" w:cs="宋体"/>
                <w:b w:val="0"/>
                <w:bCs w:val="0"/>
                <w:color w:val="auto"/>
                <w:spacing w:val="6"/>
                <w:sz w:val="21"/>
                <w:szCs w:val="21"/>
                <w:lang w:eastAsia="zh-CN"/>
              </w:rPr>
              <w:t>、</w:t>
            </w:r>
            <w:r>
              <w:rPr>
                <w:rFonts w:hint="eastAsia" w:ascii="宋体" w:hAnsi="宋体" w:cs="宋体"/>
                <w:b w:val="0"/>
                <w:bCs w:val="0"/>
                <w:color w:val="auto"/>
                <w:spacing w:val="6"/>
                <w:sz w:val="21"/>
                <w:szCs w:val="21"/>
                <w:lang w:val="en-US" w:eastAsia="zh-CN"/>
              </w:rPr>
              <w:t>35</w:t>
            </w:r>
            <w:r>
              <w:rPr>
                <w:rFonts w:hint="eastAsia" w:ascii="宋体" w:hAnsi="宋体" w:eastAsia="宋体" w:cs="宋体"/>
                <w:b w:val="0"/>
                <w:bCs w:val="0"/>
                <w:color w:val="auto"/>
                <w:spacing w:val="6"/>
                <w:sz w:val="21"/>
                <w:szCs w:val="21"/>
                <w:lang w:val="en-US" w:eastAsia="zh-CN"/>
              </w:rPr>
              <w:t>0</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pacing w:val="6"/>
                <w:sz w:val="21"/>
                <w:szCs w:val="21"/>
              </w:rPr>
              <w:t>1</w:t>
            </w:r>
            <w:r>
              <w:rPr>
                <w:rFonts w:hint="eastAsia" w:ascii="宋体" w:hAnsi="宋体" w:cs="宋体"/>
                <w:b w:val="0"/>
                <w:bCs w:val="0"/>
                <w:color w:val="auto"/>
                <w:spacing w:val="6"/>
                <w:sz w:val="21"/>
                <w:szCs w:val="21"/>
                <w:lang w:val="en-US" w:eastAsia="zh-CN"/>
              </w:rPr>
              <w:t>2</w:t>
            </w:r>
            <w:r>
              <w:rPr>
                <w:rFonts w:hint="eastAsia" w:ascii="宋体" w:hAnsi="宋体" w:eastAsia="宋体" w:cs="宋体"/>
                <w:b w:val="0"/>
                <w:bCs w:val="0"/>
                <w:color w:val="auto"/>
                <w:spacing w:val="6"/>
                <w:sz w:val="21"/>
                <w:szCs w:val="21"/>
                <w:lang w:val="en-US" w:eastAsia="zh-CN"/>
              </w:rPr>
              <w:t>00</w:t>
            </w:r>
            <w:r>
              <w:rPr>
                <w:rFonts w:hint="eastAsia" w:ascii="宋体" w:hAnsi="宋体" w:eastAsia="宋体" w:cs="宋体"/>
                <w:b w:val="0"/>
                <w:bCs w:val="0"/>
                <w:color w:val="auto"/>
                <w:spacing w:val="6"/>
                <w:sz w:val="21"/>
                <w:szCs w:val="21"/>
                <w:lang w:eastAsia="zh-CN"/>
              </w:rPr>
              <w:t>㎜</w:t>
            </w:r>
            <w:r>
              <w:rPr>
                <w:rFonts w:hint="eastAsia" w:ascii="宋体" w:hAnsi="宋体" w:cs="宋体"/>
                <w:b w:val="0"/>
                <w:bCs w:val="0"/>
                <w:color w:val="auto"/>
                <w:spacing w:val="6"/>
                <w:sz w:val="21"/>
                <w:szCs w:val="21"/>
                <w:lang w:eastAsia="zh-CN"/>
              </w:rPr>
              <w:t>、</w:t>
            </w:r>
            <w:r>
              <w:rPr>
                <w:rFonts w:hint="eastAsia" w:ascii="宋体" w:hAnsi="宋体" w:eastAsia="宋体" w:cs="宋体"/>
                <w:b w:val="0"/>
                <w:bCs w:val="0"/>
                <w:color w:val="auto"/>
                <w:spacing w:val="6"/>
                <w:sz w:val="21"/>
                <w:szCs w:val="21"/>
                <w:lang w:val="en-US" w:eastAsia="zh-CN"/>
              </w:rPr>
              <w:t>4</w:t>
            </w:r>
            <w:r>
              <w:rPr>
                <w:rFonts w:hint="eastAsia" w:ascii="宋体" w:hAnsi="宋体" w:cs="宋体"/>
                <w:b w:val="0"/>
                <w:bCs w:val="0"/>
                <w:color w:val="auto"/>
                <w:spacing w:val="6"/>
                <w:sz w:val="21"/>
                <w:szCs w:val="21"/>
                <w:lang w:val="en-US" w:eastAsia="zh-CN"/>
              </w:rPr>
              <w:t>5</w:t>
            </w:r>
            <w:r>
              <w:rPr>
                <w:rFonts w:hint="eastAsia" w:ascii="宋体" w:hAnsi="宋体" w:eastAsia="宋体" w:cs="宋体"/>
                <w:b w:val="0"/>
                <w:bCs w:val="0"/>
                <w:color w:val="auto"/>
                <w:spacing w:val="6"/>
                <w:sz w:val="21"/>
                <w:szCs w:val="21"/>
                <w:lang w:val="en-US" w:eastAsia="zh-CN"/>
              </w:rPr>
              <w:t>0</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pacing w:val="6"/>
                <w:sz w:val="21"/>
                <w:szCs w:val="21"/>
              </w:rPr>
              <w:t>1</w:t>
            </w:r>
            <w:r>
              <w:rPr>
                <w:rFonts w:hint="eastAsia" w:ascii="宋体" w:hAnsi="宋体" w:cs="宋体"/>
                <w:b w:val="0"/>
                <w:bCs w:val="0"/>
                <w:color w:val="auto"/>
                <w:spacing w:val="6"/>
                <w:sz w:val="21"/>
                <w:szCs w:val="21"/>
                <w:lang w:val="en-US" w:eastAsia="zh-CN"/>
              </w:rPr>
              <w:t>0</w:t>
            </w:r>
            <w:r>
              <w:rPr>
                <w:rFonts w:hint="eastAsia" w:ascii="宋体" w:hAnsi="宋体" w:eastAsia="宋体" w:cs="宋体"/>
                <w:b w:val="0"/>
                <w:bCs w:val="0"/>
                <w:color w:val="auto"/>
                <w:spacing w:val="6"/>
                <w:sz w:val="21"/>
                <w:szCs w:val="21"/>
                <w:lang w:val="en-US" w:eastAsia="zh-CN"/>
              </w:rPr>
              <w:t>00</w:t>
            </w:r>
            <w:r>
              <w:rPr>
                <w:rFonts w:hint="eastAsia" w:ascii="宋体" w:hAnsi="宋体" w:eastAsia="宋体" w:cs="宋体"/>
                <w:b w:val="0"/>
                <w:bCs w:val="0"/>
                <w:color w:val="auto"/>
                <w:spacing w:val="6"/>
                <w:sz w:val="21"/>
                <w:szCs w:val="21"/>
                <w:lang w:eastAsia="zh-CN"/>
              </w:rPr>
              <w:t>㎜、</w:t>
            </w:r>
            <w:r>
              <w:rPr>
                <w:rFonts w:hint="eastAsia" w:ascii="宋体" w:hAnsi="宋体" w:cs="宋体"/>
                <w:b w:val="0"/>
                <w:bCs w:val="0"/>
                <w:color w:val="auto"/>
                <w:spacing w:val="6"/>
                <w:sz w:val="21"/>
                <w:szCs w:val="21"/>
                <w:lang w:val="en-US" w:eastAsia="zh-CN"/>
              </w:rPr>
              <w:t>40</w:t>
            </w:r>
            <w:r>
              <w:rPr>
                <w:rFonts w:hint="eastAsia" w:ascii="宋体" w:hAnsi="宋体" w:eastAsia="宋体" w:cs="宋体"/>
                <w:b w:val="0"/>
                <w:bCs w:val="0"/>
                <w:color w:val="auto"/>
                <w:spacing w:val="6"/>
                <w:sz w:val="21"/>
                <w:szCs w:val="21"/>
              </w:rPr>
              <w:t>0</w:t>
            </w:r>
            <w:r>
              <w:rPr>
                <w:rFonts w:hint="eastAsia" w:ascii="宋体" w:hAnsi="宋体" w:eastAsia="宋体" w:cs="宋体"/>
                <w:b w:val="0"/>
                <w:bCs w:val="0"/>
                <w:color w:val="auto"/>
                <w:spacing w:val="6"/>
                <w:sz w:val="21"/>
                <w:szCs w:val="21"/>
                <w:lang w:eastAsia="zh-CN"/>
              </w:rPr>
              <w:t>㎜</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pacing w:val="6"/>
                <w:sz w:val="21"/>
                <w:szCs w:val="21"/>
              </w:rPr>
              <w:t>1</w:t>
            </w:r>
            <w:r>
              <w:rPr>
                <w:rFonts w:hint="eastAsia" w:ascii="宋体" w:hAnsi="宋体" w:cs="宋体"/>
                <w:b w:val="0"/>
                <w:bCs w:val="0"/>
                <w:color w:val="auto"/>
                <w:spacing w:val="6"/>
                <w:sz w:val="21"/>
                <w:szCs w:val="21"/>
                <w:lang w:val="en-US" w:eastAsia="zh-CN"/>
              </w:rPr>
              <w:t>00</w:t>
            </w:r>
            <w:r>
              <w:rPr>
                <w:rFonts w:hint="eastAsia" w:ascii="宋体" w:hAnsi="宋体" w:eastAsia="宋体" w:cs="宋体"/>
                <w:b w:val="0"/>
                <w:bCs w:val="0"/>
                <w:color w:val="auto"/>
                <w:spacing w:val="6"/>
                <w:sz w:val="21"/>
                <w:szCs w:val="21"/>
                <w:lang w:val="en-US" w:eastAsia="zh-CN"/>
              </w:rPr>
              <w:t>0</w:t>
            </w:r>
            <w:r>
              <w:rPr>
                <w:rFonts w:hint="eastAsia" w:ascii="宋体" w:hAnsi="宋体" w:eastAsia="宋体" w:cs="宋体"/>
                <w:b w:val="0"/>
                <w:bCs w:val="0"/>
                <w:color w:val="auto"/>
                <w:spacing w:val="6"/>
                <w:sz w:val="21"/>
                <w:szCs w:val="21"/>
                <w:lang w:eastAsia="zh-CN"/>
              </w:rPr>
              <w:t>㎜、</w:t>
            </w:r>
            <w:r>
              <w:rPr>
                <w:rFonts w:hint="eastAsia" w:ascii="宋体" w:hAnsi="宋体" w:cs="宋体"/>
                <w:b w:val="0"/>
                <w:bCs w:val="0"/>
                <w:color w:val="auto"/>
                <w:spacing w:val="6"/>
                <w:sz w:val="21"/>
                <w:szCs w:val="21"/>
                <w:lang w:val="en-US" w:eastAsia="zh-CN"/>
              </w:rPr>
              <w:t>3</w:t>
            </w:r>
            <w:r>
              <w:rPr>
                <w:rFonts w:hint="eastAsia" w:ascii="宋体" w:hAnsi="宋体" w:eastAsia="宋体" w:cs="宋体"/>
                <w:b w:val="0"/>
                <w:bCs w:val="0"/>
                <w:color w:val="auto"/>
                <w:spacing w:val="6"/>
                <w:sz w:val="21"/>
                <w:szCs w:val="21"/>
                <w:lang w:val="en-US" w:eastAsia="zh-CN"/>
              </w:rPr>
              <w:t>0</w:t>
            </w:r>
            <w:r>
              <w:rPr>
                <w:rFonts w:hint="eastAsia" w:ascii="宋体" w:hAnsi="宋体" w:eastAsia="宋体" w:cs="宋体"/>
                <w:b w:val="0"/>
                <w:bCs w:val="0"/>
                <w:color w:val="auto"/>
                <w:spacing w:val="6"/>
                <w:sz w:val="21"/>
                <w:szCs w:val="21"/>
              </w:rPr>
              <w:t>0</w:t>
            </w:r>
            <w:r>
              <w:rPr>
                <w:rFonts w:hint="eastAsia" w:ascii="宋体" w:hAnsi="宋体" w:eastAsia="宋体" w:cs="宋体"/>
                <w:b w:val="0"/>
                <w:bCs w:val="0"/>
                <w:color w:val="auto"/>
                <w:spacing w:val="6"/>
                <w:sz w:val="21"/>
                <w:szCs w:val="21"/>
                <w:lang w:eastAsia="zh-CN"/>
              </w:rPr>
              <w:t>㎜</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pacing w:val="6"/>
                <w:sz w:val="21"/>
                <w:szCs w:val="21"/>
              </w:rPr>
              <w:t>1</w:t>
            </w:r>
            <w:r>
              <w:rPr>
                <w:rFonts w:hint="eastAsia" w:ascii="宋体" w:hAnsi="宋体" w:eastAsia="宋体" w:cs="宋体"/>
                <w:b w:val="0"/>
                <w:bCs w:val="0"/>
                <w:color w:val="auto"/>
                <w:spacing w:val="6"/>
                <w:sz w:val="21"/>
                <w:szCs w:val="21"/>
                <w:lang w:val="en-US" w:eastAsia="zh-CN"/>
              </w:rPr>
              <w:t>000</w:t>
            </w:r>
            <w:r>
              <w:rPr>
                <w:rFonts w:hint="eastAsia" w:ascii="宋体" w:hAnsi="宋体" w:eastAsia="宋体" w:cs="宋体"/>
                <w:b w:val="0"/>
                <w:bCs w:val="0"/>
                <w:color w:val="auto"/>
                <w:spacing w:val="6"/>
                <w:sz w:val="21"/>
                <w:szCs w:val="21"/>
                <w:lang w:eastAsia="zh-CN"/>
              </w:rPr>
              <w:t>㎜</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2</w:t>
            </w:r>
            <w:r>
              <w:rPr>
                <w:rFonts w:hint="eastAsia" w:ascii="宋体" w:hAnsi="宋体" w:eastAsia="宋体" w:cs="宋体"/>
                <w:color w:val="auto"/>
                <w:spacing w:val="6"/>
                <w:sz w:val="21"/>
                <w:szCs w:val="21"/>
                <w:lang w:val="en-US" w:eastAsia="zh-CN"/>
              </w:rPr>
              <w:t>5</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9</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35</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eastAsia="宋体" w:cs="宋体"/>
                <w:color w:val="auto"/>
                <w:spacing w:val="6"/>
                <w:sz w:val="21"/>
                <w:szCs w:val="21"/>
              </w:rPr>
              <w:t>1</w:t>
            </w:r>
            <w:r>
              <w:rPr>
                <w:rFonts w:hint="eastAsia" w:ascii="宋体" w:hAnsi="宋体" w:cs="宋体"/>
                <w:color w:val="auto"/>
                <w:spacing w:val="6"/>
                <w:sz w:val="21"/>
                <w:szCs w:val="21"/>
                <w:lang w:val="en-US" w:eastAsia="zh-CN"/>
              </w:rPr>
              <w:t>25</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3</w:t>
            </w:r>
            <w:r>
              <w:rPr>
                <w:rFonts w:hint="eastAsia" w:ascii="宋体" w:hAnsi="宋体" w:cs="宋体"/>
                <w:color w:val="auto"/>
                <w:spacing w:val="6"/>
                <w:sz w:val="21"/>
                <w:szCs w:val="21"/>
                <w:lang w:val="en-US" w:eastAsia="zh-CN"/>
              </w:rPr>
              <w:t>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14</w:t>
            </w:r>
            <w:r>
              <w:rPr>
                <w:rFonts w:hint="eastAsia" w:ascii="宋体" w:hAnsi="宋体" w:eastAsia="宋体" w:cs="宋体"/>
                <w:color w:val="auto"/>
                <w:spacing w:val="6"/>
                <w:sz w:val="21"/>
                <w:szCs w:val="21"/>
                <w:lang w:val="en-US" w:eastAsia="zh-CN"/>
              </w:rPr>
              <w:t>00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30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eastAsia="宋体" w:cs="宋体"/>
                <w:color w:val="auto"/>
                <w:spacing w:val="6"/>
                <w:sz w:val="21"/>
                <w:szCs w:val="21"/>
                <w:lang w:val="en-US" w:eastAsia="zh-CN"/>
              </w:rPr>
              <w:t>900</w:t>
            </w:r>
            <w:r>
              <w:rPr>
                <w:rFonts w:hint="eastAsia" w:ascii="宋体" w:hAnsi="宋体" w:eastAsia="宋体" w:cs="宋体"/>
                <w:color w:val="auto"/>
                <w:spacing w:val="6"/>
                <w:sz w:val="21"/>
                <w:szCs w:val="21"/>
                <w:lang w:eastAsia="zh-CN"/>
              </w:rPr>
              <w:t>㎜、</w:t>
            </w:r>
            <w:r>
              <w:rPr>
                <w:rFonts w:hint="eastAsia" w:ascii="宋体" w:hAnsi="宋体" w:cs="宋体"/>
                <w:color w:val="auto"/>
                <w:spacing w:val="6"/>
                <w:sz w:val="21"/>
                <w:szCs w:val="21"/>
                <w:lang w:val="en-US" w:eastAsia="zh-CN"/>
              </w:rPr>
              <w:t>2</w:t>
            </w:r>
            <w:r>
              <w:rPr>
                <w:rFonts w:hint="eastAsia" w:ascii="宋体" w:hAnsi="宋体" w:eastAsia="宋体" w:cs="宋体"/>
                <w:color w:val="auto"/>
                <w:spacing w:val="6"/>
                <w:sz w:val="21"/>
                <w:szCs w:val="21"/>
                <w:lang w:val="en-US" w:eastAsia="zh-CN"/>
              </w:rPr>
              <w:t>5</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cs="宋体"/>
                <w:color w:val="auto"/>
                <w:spacing w:val="6"/>
                <w:sz w:val="21"/>
                <w:szCs w:val="21"/>
                <w:lang w:val="en-US" w:eastAsia="zh-CN"/>
              </w:rPr>
              <w:t>90</w:t>
            </w:r>
            <w:r>
              <w:rPr>
                <w:rFonts w:hint="eastAsia" w:ascii="宋体" w:hAnsi="宋体" w:eastAsia="宋体" w:cs="宋体"/>
                <w:color w:val="auto"/>
                <w:spacing w:val="6"/>
                <w:sz w:val="21"/>
                <w:szCs w:val="21"/>
                <w:lang w:val="en-US" w:eastAsia="zh-CN"/>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35</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eastAsia="宋体" w:cs="宋体"/>
                <w:color w:val="auto"/>
                <w:spacing w:val="6"/>
                <w:sz w:val="21"/>
                <w:szCs w:val="21"/>
                <w:lang w:val="en-US" w:eastAsia="zh-CN"/>
              </w:rPr>
              <w:t>800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lang w:val="en-US" w:eastAsia="zh-CN"/>
              </w:rPr>
              <w:t>2</w:t>
            </w:r>
            <w:r>
              <w:rPr>
                <w:rFonts w:hint="eastAsia" w:ascii="宋体" w:hAnsi="宋体" w:cs="宋体"/>
                <w:color w:val="auto"/>
                <w:spacing w:val="6"/>
                <w:sz w:val="21"/>
                <w:szCs w:val="21"/>
                <w:lang w:val="en-US" w:eastAsia="zh-CN"/>
              </w:rPr>
              <w:t>0</w:t>
            </w:r>
            <w:r>
              <w:rPr>
                <w:rFonts w:hint="eastAsia" w:ascii="宋体" w:hAnsi="宋体" w:eastAsia="宋体" w:cs="宋体"/>
                <w:color w:val="auto"/>
                <w:spacing w:val="6"/>
                <w:sz w:val="21"/>
                <w:szCs w:val="21"/>
              </w:rPr>
              <w:t>0</w:t>
            </w:r>
            <w:r>
              <w:rPr>
                <w:rFonts w:hint="eastAsia" w:ascii="宋体" w:hAnsi="宋体" w:eastAsia="宋体" w:cs="宋体"/>
                <w:color w:val="auto"/>
                <w:spacing w:val="6"/>
                <w:sz w:val="21"/>
                <w:szCs w:val="21"/>
                <w:lang w:eastAsia="zh-CN"/>
              </w:rPr>
              <w:t>㎜</w:t>
            </w:r>
            <w:r>
              <w:rPr>
                <w:rFonts w:hint="eastAsia" w:ascii="宋体" w:hAnsi="宋体" w:eastAsia="宋体" w:cs="宋体"/>
                <w:color w:val="auto"/>
                <w:sz w:val="21"/>
                <w:szCs w:val="21"/>
                <w:lang w:val="en-US" w:eastAsia="zh-CN"/>
              </w:rPr>
              <w:t>×</w:t>
            </w:r>
            <w:r>
              <w:rPr>
                <w:rFonts w:hint="eastAsia" w:ascii="宋体" w:hAnsi="宋体" w:eastAsia="宋体" w:cs="宋体"/>
                <w:color w:val="auto"/>
                <w:spacing w:val="6"/>
                <w:sz w:val="21"/>
                <w:szCs w:val="21"/>
                <w:lang w:val="en-US" w:eastAsia="zh-CN"/>
              </w:rPr>
              <w:t>800</w:t>
            </w:r>
            <w:r>
              <w:rPr>
                <w:rFonts w:hint="eastAsia" w:ascii="宋体" w:hAnsi="宋体" w:eastAsia="宋体" w:cs="宋体"/>
                <w:color w:val="auto"/>
                <w:spacing w:val="6"/>
                <w:sz w:val="21"/>
                <w:szCs w:val="21"/>
                <w:lang w:eastAsia="zh-CN"/>
              </w:rPr>
              <w:t>㎜</w:t>
            </w:r>
            <w:r>
              <w:rPr>
                <w:rFonts w:hint="eastAsia" w:ascii="宋体" w:hAnsi="宋体" w:eastAsia="宋体" w:cs="宋体"/>
                <w:color w:val="auto"/>
                <w:spacing w:val="6"/>
                <w:sz w:val="21"/>
                <w:szCs w:val="21"/>
              </w:rPr>
              <w:t>等</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1252"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2120" w:type="dxa"/>
            <w:gridSpan w:val="4"/>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rPr>
            </w:pPr>
            <w:r>
              <w:rPr>
                <w:rFonts w:hint="eastAsia"/>
                <w:color w:val="auto"/>
                <w:spacing w:val="6"/>
                <w:sz w:val="21"/>
                <w:szCs w:val="21"/>
              </w:rPr>
              <w:t>板</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default" w:ascii="宋体" w:hAnsi="宋体" w:eastAsia="宋体" w:cs="宋体"/>
                <w:color w:val="auto"/>
                <w:spacing w:val="6"/>
                <w:sz w:val="21"/>
                <w:szCs w:val="21"/>
                <w:lang w:val="en-US" w:eastAsia="zh-CN"/>
              </w:rPr>
            </w:pPr>
            <w:r>
              <w:rPr>
                <w:rStyle w:val="244"/>
                <w:rFonts w:hint="eastAsia" w:ascii="宋体" w:hAnsi="宋体" w:eastAsia="宋体" w:cs="宋体"/>
                <w:color w:val="auto"/>
                <w:spacing w:val="6"/>
                <w:sz w:val="21"/>
                <w:szCs w:val="21"/>
              </w:rPr>
              <w:t>1</w:t>
            </w:r>
            <w:r>
              <w:rPr>
                <w:rStyle w:val="244"/>
                <w:rFonts w:hint="eastAsia" w:ascii="宋体" w:hAnsi="宋体" w:eastAsia="宋体" w:cs="宋体"/>
                <w:color w:val="auto"/>
                <w:spacing w:val="6"/>
                <w:sz w:val="21"/>
                <w:szCs w:val="21"/>
                <w:lang w:val="en-US" w:eastAsia="zh-CN"/>
              </w:rPr>
              <w:t>0</w:t>
            </w:r>
            <w:r>
              <w:rPr>
                <w:rStyle w:val="244"/>
                <w:rFonts w:hint="eastAsia" w:ascii="宋体" w:hAnsi="宋体" w:eastAsia="宋体" w:cs="宋体"/>
                <w:color w:val="auto"/>
                <w:spacing w:val="6"/>
                <w:sz w:val="21"/>
                <w:szCs w:val="21"/>
              </w:rPr>
              <w:t>0mm</w:t>
            </w:r>
            <w:r>
              <w:rPr>
                <w:rStyle w:val="244"/>
                <w:rFonts w:hint="eastAsia" w:ascii="宋体" w:hAnsi="宋体" w:eastAsia="宋体" w:cs="宋体"/>
                <w:color w:val="auto"/>
                <w:spacing w:val="6"/>
                <w:sz w:val="21"/>
                <w:szCs w:val="21"/>
                <w:lang w:eastAsia="zh-CN"/>
              </w:rPr>
              <w:t>、</w:t>
            </w:r>
            <w:r>
              <w:rPr>
                <w:rStyle w:val="244"/>
                <w:rFonts w:hint="eastAsia" w:ascii="宋体" w:hAnsi="宋体" w:eastAsia="宋体" w:cs="宋体"/>
                <w:color w:val="auto"/>
                <w:spacing w:val="6"/>
                <w:sz w:val="21"/>
                <w:szCs w:val="21"/>
              </w:rPr>
              <w:t>1</w:t>
            </w:r>
            <w:r>
              <w:rPr>
                <w:rStyle w:val="244"/>
                <w:rFonts w:hint="eastAsia" w:ascii="宋体" w:hAnsi="宋体" w:cs="宋体"/>
                <w:color w:val="auto"/>
                <w:spacing w:val="6"/>
                <w:sz w:val="21"/>
                <w:szCs w:val="21"/>
                <w:lang w:val="en-US" w:eastAsia="zh-CN"/>
              </w:rPr>
              <w:t>1</w:t>
            </w:r>
            <w:r>
              <w:rPr>
                <w:rStyle w:val="244"/>
                <w:rFonts w:hint="eastAsia" w:ascii="宋体" w:hAnsi="宋体" w:eastAsia="宋体" w:cs="宋体"/>
                <w:color w:val="auto"/>
                <w:spacing w:val="6"/>
                <w:sz w:val="21"/>
                <w:szCs w:val="21"/>
              </w:rPr>
              <w:t>0mm</w:t>
            </w:r>
            <w:r>
              <w:rPr>
                <w:rStyle w:val="244"/>
                <w:rFonts w:hint="eastAsia" w:ascii="宋体" w:hAnsi="宋体" w:eastAsia="宋体" w:cs="宋体"/>
                <w:color w:val="auto"/>
                <w:spacing w:val="6"/>
                <w:sz w:val="21"/>
                <w:szCs w:val="21"/>
                <w:lang w:eastAsia="zh-CN"/>
              </w:rPr>
              <w:t>、</w:t>
            </w:r>
            <w:r>
              <w:rPr>
                <w:rStyle w:val="244"/>
                <w:rFonts w:hint="eastAsia" w:ascii="宋体" w:hAnsi="宋体" w:eastAsia="宋体" w:cs="宋体"/>
                <w:color w:val="auto"/>
                <w:spacing w:val="6"/>
                <w:sz w:val="21"/>
                <w:szCs w:val="21"/>
                <w:lang w:val="en-US" w:eastAsia="zh-CN"/>
              </w:rPr>
              <w:t>1</w:t>
            </w:r>
            <w:r>
              <w:rPr>
                <w:rStyle w:val="244"/>
                <w:rFonts w:hint="eastAsia" w:ascii="宋体" w:hAnsi="宋体" w:cs="宋体"/>
                <w:color w:val="auto"/>
                <w:spacing w:val="6"/>
                <w:sz w:val="21"/>
                <w:szCs w:val="21"/>
                <w:lang w:val="en-US" w:eastAsia="zh-CN"/>
              </w:rPr>
              <w:t>2</w:t>
            </w:r>
            <w:r>
              <w:rPr>
                <w:rStyle w:val="244"/>
                <w:rFonts w:hint="eastAsia" w:ascii="宋体" w:hAnsi="宋体" w:eastAsia="宋体" w:cs="宋体"/>
                <w:color w:val="auto"/>
                <w:spacing w:val="6"/>
                <w:sz w:val="21"/>
                <w:szCs w:val="21"/>
              </w:rPr>
              <w:t>0mm</w:t>
            </w:r>
            <w:r>
              <w:rPr>
                <w:rStyle w:val="244"/>
                <w:rFonts w:hint="eastAsia" w:ascii="宋体" w:hAnsi="宋体" w:cs="宋体"/>
                <w:color w:val="auto"/>
                <w:spacing w:val="6"/>
                <w:sz w:val="21"/>
                <w:szCs w:val="21"/>
                <w:lang w:eastAsia="zh-CN"/>
              </w:rPr>
              <w:t>、</w:t>
            </w:r>
            <w:r>
              <w:rPr>
                <w:rStyle w:val="244"/>
                <w:rFonts w:hint="eastAsia" w:ascii="宋体" w:hAnsi="宋体" w:cs="宋体"/>
                <w:color w:val="auto"/>
                <w:spacing w:val="6"/>
                <w:sz w:val="21"/>
                <w:szCs w:val="21"/>
                <w:lang w:val="en-US" w:eastAsia="zh-CN"/>
              </w:rPr>
              <w:t>150mm、160mm</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混凝土强度等级</w:t>
            </w: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垫层</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default" w:eastAsia="宋体"/>
                <w:color w:val="auto"/>
                <w:spacing w:val="6"/>
                <w:sz w:val="21"/>
                <w:szCs w:val="21"/>
                <w:lang w:val="en-US" w:eastAsia="zh-CN"/>
              </w:rPr>
            </w:pPr>
            <w:r>
              <w:rPr>
                <w:rStyle w:val="244"/>
                <w:rFonts w:hint="eastAsia"/>
                <w:color w:val="auto"/>
                <w:spacing w:val="6"/>
                <w:sz w:val="21"/>
                <w:szCs w:val="21"/>
              </w:rPr>
              <w:t>C</w:t>
            </w:r>
            <w:r>
              <w:rPr>
                <w:rStyle w:val="244"/>
                <w:rFonts w:hint="eastAsia"/>
                <w:color w:val="auto"/>
                <w:spacing w:val="6"/>
                <w:sz w:val="21"/>
                <w:szCs w:val="21"/>
                <w:lang w:val="en-US" w:eastAsia="zh-CN"/>
              </w:rPr>
              <w:t>20</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lang w:eastAsia="zh-CN"/>
              </w:rPr>
            </w:pPr>
            <w:r>
              <w:rPr>
                <w:rStyle w:val="244"/>
                <w:rFonts w:hint="eastAsia"/>
                <w:color w:val="auto"/>
                <w:spacing w:val="6"/>
                <w:sz w:val="21"/>
                <w:szCs w:val="21"/>
              </w:rPr>
              <w:t>基础</w:t>
            </w:r>
            <w:r>
              <w:rPr>
                <w:rStyle w:val="244"/>
                <w:rFonts w:hint="eastAsia"/>
                <w:color w:val="auto"/>
                <w:spacing w:val="6"/>
                <w:sz w:val="21"/>
                <w:szCs w:val="21"/>
                <w:lang w:eastAsia="zh-CN"/>
              </w:rPr>
              <w:t>（地梁、板、承台）</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lang w:eastAsia="zh-CN"/>
              </w:rPr>
            </w:pPr>
            <w:r>
              <w:rPr>
                <w:rStyle w:val="244"/>
                <w:rFonts w:hint="eastAsia"/>
                <w:color w:val="auto"/>
                <w:spacing w:val="6"/>
                <w:sz w:val="21"/>
                <w:szCs w:val="21"/>
              </w:rPr>
              <w:t>C</w:t>
            </w:r>
            <w:r>
              <w:rPr>
                <w:rStyle w:val="244"/>
                <w:color w:val="auto"/>
                <w:spacing w:val="6"/>
                <w:sz w:val="21"/>
                <w:szCs w:val="21"/>
              </w:rPr>
              <w:t>3</w:t>
            </w:r>
            <w:r>
              <w:rPr>
                <w:rStyle w:val="244"/>
                <w:rFonts w:hint="eastAsia"/>
                <w:color w:val="auto"/>
                <w:spacing w:val="6"/>
                <w:sz w:val="21"/>
                <w:szCs w:val="21"/>
                <w:lang w:val="en-US" w:eastAsia="zh-CN"/>
              </w:rPr>
              <w:t>5</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楼梯</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同楼板</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梁</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default" w:eastAsia="宋体"/>
                <w:color w:val="auto"/>
                <w:spacing w:val="6"/>
                <w:sz w:val="21"/>
                <w:szCs w:val="21"/>
                <w:lang w:val="en-US" w:eastAsia="zh-CN"/>
              </w:rPr>
            </w:pPr>
            <w:r>
              <w:rPr>
                <w:rStyle w:val="244"/>
                <w:rFonts w:hint="eastAsia"/>
                <w:color w:val="auto"/>
                <w:spacing w:val="6"/>
                <w:sz w:val="21"/>
                <w:szCs w:val="21"/>
                <w:lang w:val="en-US" w:eastAsia="zh-CN"/>
              </w:rPr>
              <w:t>C40、</w:t>
            </w:r>
            <w:r>
              <w:rPr>
                <w:rStyle w:val="244"/>
                <w:rFonts w:hint="eastAsia"/>
                <w:color w:val="auto"/>
                <w:spacing w:val="6"/>
                <w:sz w:val="21"/>
                <w:szCs w:val="21"/>
              </w:rPr>
              <w:t>C</w:t>
            </w:r>
            <w:r>
              <w:rPr>
                <w:rStyle w:val="244"/>
                <w:color w:val="auto"/>
                <w:spacing w:val="6"/>
                <w:sz w:val="21"/>
                <w:szCs w:val="21"/>
              </w:rPr>
              <w:t>3</w:t>
            </w:r>
            <w:r>
              <w:rPr>
                <w:rStyle w:val="244"/>
                <w:rFonts w:hint="eastAsia"/>
                <w:color w:val="auto"/>
                <w:spacing w:val="6"/>
                <w:sz w:val="21"/>
                <w:szCs w:val="21"/>
                <w:lang w:val="en-US" w:eastAsia="zh-CN"/>
              </w:rPr>
              <w:t>5</w:t>
            </w:r>
            <w:r>
              <w:rPr>
                <w:rStyle w:val="244"/>
                <w:rFonts w:hint="eastAsia"/>
                <w:color w:val="auto"/>
                <w:spacing w:val="6"/>
                <w:sz w:val="21"/>
                <w:szCs w:val="21"/>
                <w:lang w:eastAsia="zh-CN"/>
              </w:rPr>
              <w:t>、</w:t>
            </w:r>
            <w:r>
              <w:rPr>
                <w:rStyle w:val="244"/>
                <w:rFonts w:hint="eastAsia"/>
                <w:color w:val="auto"/>
                <w:spacing w:val="6"/>
                <w:sz w:val="21"/>
                <w:szCs w:val="21"/>
                <w:lang w:val="en-US" w:eastAsia="zh-CN"/>
              </w:rPr>
              <w:t>C30</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板</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lang w:val="en-US" w:eastAsia="zh-CN"/>
              </w:rPr>
              <w:t>C40、C35、</w:t>
            </w:r>
            <w:r>
              <w:rPr>
                <w:rStyle w:val="244"/>
                <w:rFonts w:hint="eastAsia"/>
                <w:color w:val="auto"/>
                <w:spacing w:val="6"/>
                <w:sz w:val="21"/>
                <w:szCs w:val="21"/>
              </w:rPr>
              <w:t>C</w:t>
            </w:r>
            <w:r>
              <w:rPr>
                <w:rStyle w:val="244"/>
                <w:color w:val="auto"/>
                <w:spacing w:val="6"/>
                <w:sz w:val="21"/>
                <w:szCs w:val="21"/>
              </w:rPr>
              <w:t>30</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柱</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default" w:ascii="宋体" w:hAnsi="宋体" w:eastAsia="宋体" w:cs="Times New Roman"/>
                <w:color w:val="auto"/>
                <w:spacing w:val="6"/>
                <w:kern w:val="2"/>
                <w:sz w:val="21"/>
                <w:szCs w:val="21"/>
                <w:lang w:val="en-US" w:eastAsia="zh-CN" w:bidi="ar-SA"/>
              </w:rPr>
            </w:pPr>
            <w:r>
              <w:rPr>
                <w:rStyle w:val="244"/>
                <w:rFonts w:hint="eastAsia"/>
                <w:color w:val="auto"/>
                <w:spacing w:val="6"/>
                <w:sz w:val="21"/>
                <w:szCs w:val="21"/>
                <w:lang w:val="en-US" w:eastAsia="zh-CN"/>
              </w:rPr>
              <w:t>C50、C45、</w:t>
            </w:r>
            <w:r>
              <w:rPr>
                <w:rStyle w:val="244"/>
                <w:rFonts w:hint="eastAsia"/>
                <w:color w:val="auto"/>
                <w:spacing w:val="6"/>
                <w:sz w:val="21"/>
                <w:szCs w:val="21"/>
              </w:rPr>
              <w:t>C</w:t>
            </w:r>
            <w:r>
              <w:rPr>
                <w:rStyle w:val="244"/>
                <w:rFonts w:hint="eastAsia"/>
                <w:color w:val="auto"/>
                <w:spacing w:val="6"/>
                <w:sz w:val="21"/>
                <w:szCs w:val="21"/>
                <w:lang w:val="en-US" w:eastAsia="zh-CN"/>
              </w:rPr>
              <w:t>4</w:t>
            </w:r>
            <w:r>
              <w:rPr>
                <w:rStyle w:val="244"/>
                <w:color w:val="auto"/>
                <w:spacing w:val="6"/>
                <w:sz w:val="21"/>
                <w:szCs w:val="21"/>
              </w:rPr>
              <w:t>0</w:t>
            </w:r>
            <w:r>
              <w:rPr>
                <w:rStyle w:val="244"/>
                <w:rFonts w:hint="eastAsia"/>
                <w:color w:val="auto"/>
                <w:spacing w:val="6"/>
                <w:sz w:val="21"/>
                <w:szCs w:val="21"/>
              </w:rPr>
              <w:t>、C</w:t>
            </w:r>
            <w:r>
              <w:rPr>
                <w:rStyle w:val="244"/>
                <w:color w:val="auto"/>
                <w:spacing w:val="6"/>
                <w:sz w:val="21"/>
                <w:szCs w:val="21"/>
              </w:rPr>
              <w:t>35</w:t>
            </w:r>
            <w:r>
              <w:rPr>
                <w:rStyle w:val="244"/>
                <w:rFonts w:hint="eastAsia"/>
                <w:color w:val="auto"/>
                <w:spacing w:val="6"/>
                <w:sz w:val="21"/>
                <w:szCs w:val="21"/>
                <w:lang w:eastAsia="zh-CN"/>
              </w:rPr>
              <w:t>、</w:t>
            </w:r>
            <w:r>
              <w:rPr>
                <w:rStyle w:val="244"/>
                <w:rFonts w:hint="eastAsia"/>
                <w:color w:val="auto"/>
                <w:spacing w:val="6"/>
                <w:sz w:val="21"/>
                <w:szCs w:val="21"/>
                <w:lang w:val="en-US" w:eastAsia="zh-CN"/>
              </w:rPr>
              <w:t>C30</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构造柱、</w:t>
            </w:r>
            <w:r>
              <w:rPr>
                <w:rStyle w:val="244"/>
                <w:rFonts w:hint="eastAsia"/>
                <w:color w:val="auto"/>
                <w:spacing w:val="6"/>
                <w:sz w:val="21"/>
                <w:szCs w:val="21"/>
                <w:lang w:eastAsia="zh-CN"/>
              </w:rPr>
              <w:t>圈</w:t>
            </w:r>
            <w:r>
              <w:rPr>
                <w:rStyle w:val="244"/>
                <w:rFonts w:hint="eastAsia"/>
                <w:color w:val="auto"/>
                <w:spacing w:val="6"/>
                <w:sz w:val="21"/>
                <w:szCs w:val="21"/>
              </w:rPr>
              <w:t>梁、过梁等</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除特别注明者外均采用C</w:t>
            </w:r>
            <w:r>
              <w:rPr>
                <w:rStyle w:val="244"/>
                <w:color w:val="auto"/>
                <w:spacing w:val="6"/>
                <w:sz w:val="21"/>
                <w:szCs w:val="21"/>
              </w:rPr>
              <w:t>25</w:t>
            </w:r>
          </w:p>
        </w:tc>
      </w:tr>
      <w:tr>
        <w:trPr>
          <w:trHeight w:val="454" w:hRule="atLeast"/>
          <w:jc w:val="center"/>
        </w:trPr>
        <w:tc>
          <w:tcPr>
            <w:tcW w:w="1464"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抗渗等级</w:t>
            </w: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lang w:eastAsia="zh-CN"/>
              </w:rPr>
            </w:pPr>
            <w:r>
              <w:rPr>
                <w:rStyle w:val="244"/>
                <w:rFonts w:hint="eastAsia"/>
                <w:color w:val="auto"/>
                <w:spacing w:val="6"/>
                <w:sz w:val="21"/>
                <w:szCs w:val="21"/>
                <w:lang w:eastAsia="zh-CN"/>
              </w:rPr>
              <w:t>地下室</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lang w:eastAsia="zh-CN"/>
              </w:rPr>
            </w:pPr>
            <w:r>
              <w:rPr>
                <w:rStyle w:val="244"/>
                <w:rFonts w:hint="eastAsia"/>
                <w:color w:val="auto"/>
                <w:spacing w:val="6"/>
                <w:sz w:val="21"/>
                <w:szCs w:val="21"/>
              </w:rPr>
              <w:t>P</w:t>
            </w:r>
            <w:r>
              <w:rPr>
                <w:rStyle w:val="244"/>
                <w:rFonts w:hint="eastAsia"/>
                <w:color w:val="auto"/>
                <w:spacing w:val="6"/>
                <w:sz w:val="21"/>
                <w:szCs w:val="21"/>
                <w:lang w:val="en-US" w:eastAsia="zh-CN"/>
              </w:rPr>
              <w:t>8</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spacing w:val="6"/>
                <w:sz w:val="21"/>
                <w:szCs w:val="21"/>
              </w:rPr>
            </w:pPr>
            <w:r>
              <w:rPr>
                <w:rStyle w:val="244"/>
                <w:rFonts w:hint="eastAsia"/>
                <w:spacing w:val="6"/>
                <w:sz w:val="21"/>
                <w:szCs w:val="21"/>
              </w:rPr>
              <w:t>钢筋</w:t>
            </w: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钢筋类型</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default" w:eastAsia="宋体"/>
                <w:color w:val="auto"/>
                <w:spacing w:val="6"/>
                <w:sz w:val="21"/>
                <w:szCs w:val="21"/>
                <w:lang w:val="en-US" w:eastAsia="zh-CN"/>
              </w:rPr>
            </w:pPr>
            <w:r>
              <w:rPr>
                <w:rStyle w:val="244"/>
                <w:rFonts w:hint="eastAsia"/>
                <w:color w:val="auto"/>
                <w:spacing w:val="6"/>
                <w:sz w:val="21"/>
                <w:szCs w:val="21"/>
              </w:rPr>
              <w:t>H</w:t>
            </w:r>
            <w:r>
              <w:rPr>
                <w:rStyle w:val="244"/>
                <w:rFonts w:hint="eastAsia"/>
                <w:color w:val="auto"/>
                <w:spacing w:val="6"/>
                <w:sz w:val="21"/>
                <w:szCs w:val="21"/>
                <w:lang w:val="en-US" w:eastAsia="zh-CN"/>
              </w:rPr>
              <w:t>P</w:t>
            </w:r>
            <w:r>
              <w:rPr>
                <w:rStyle w:val="244"/>
                <w:rFonts w:hint="eastAsia"/>
                <w:color w:val="auto"/>
                <w:spacing w:val="6"/>
                <w:sz w:val="21"/>
                <w:szCs w:val="21"/>
              </w:rPr>
              <w:t>B300、HRB400</w:t>
            </w:r>
            <w:r>
              <w:rPr>
                <w:rStyle w:val="244"/>
                <w:rFonts w:hint="eastAsia"/>
                <w:color w:val="auto"/>
                <w:spacing w:val="6"/>
                <w:sz w:val="21"/>
                <w:szCs w:val="21"/>
                <w:lang w:eastAsia="zh-CN"/>
              </w:rPr>
              <w:t>、</w:t>
            </w:r>
            <w:r>
              <w:rPr>
                <w:rStyle w:val="244"/>
                <w:rFonts w:hint="eastAsia"/>
                <w:color w:val="auto"/>
                <w:spacing w:val="6"/>
                <w:sz w:val="21"/>
                <w:szCs w:val="21"/>
                <w:lang w:val="en-US" w:eastAsia="zh-CN"/>
              </w:rPr>
              <w:t>HRB500</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p>
        </w:tc>
        <w:tc>
          <w:tcPr>
            <w:tcW w:w="3372" w:type="dxa"/>
            <w:gridSpan w:val="5"/>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rPr>
            </w:pPr>
            <w:r>
              <w:rPr>
                <w:rStyle w:val="244"/>
                <w:rFonts w:hint="eastAsia"/>
                <w:color w:val="auto"/>
                <w:spacing w:val="6"/>
                <w:sz w:val="21"/>
                <w:szCs w:val="21"/>
              </w:rPr>
              <w:t>连接形式</w:t>
            </w:r>
          </w:p>
        </w:tc>
        <w:tc>
          <w:tcPr>
            <w:tcW w:w="4893" w:type="dxa"/>
            <w:gridSpan w:val="8"/>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rPr>
            </w:pPr>
            <w:r>
              <w:rPr>
                <w:rStyle w:val="244"/>
                <w:rFonts w:hint="eastAsia"/>
                <w:color w:val="auto"/>
                <w:spacing w:val="6"/>
                <w:sz w:val="21"/>
                <w:szCs w:val="21"/>
              </w:rPr>
              <w:t>钢筋直径大于2</w:t>
            </w:r>
            <w:r>
              <w:rPr>
                <w:rStyle w:val="244"/>
                <w:color w:val="auto"/>
                <w:spacing w:val="6"/>
                <w:sz w:val="21"/>
                <w:szCs w:val="21"/>
              </w:rPr>
              <w:t>0</w:t>
            </w:r>
            <w:r>
              <w:rPr>
                <w:rStyle w:val="244"/>
                <w:rFonts w:hint="eastAsia"/>
                <w:color w:val="auto"/>
                <w:spacing w:val="6"/>
                <w:sz w:val="21"/>
                <w:szCs w:val="21"/>
              </w:rPr>
              <w:t>的采用机械连接，直径小于等于2</w:t>
            </w:r>
            <w:r>
              <w:rPr>
                <w:rStyle w:val="244"/>
                <w:color w:val="auto"/>
                <w:spacing w:val="6"/>
                <w:sz w:val="21"/>
                <w:szCs w:val="21"/>
              </w:rPr>
              <w:t>0</w:t>
            </w:r>
            <w:r>
              <w:rPr>
                <w:rStyle w:val="244"/>
                <w:rFonts w:hint="eastAsia"/>
                <w:color w:val="auto"/>
                <w:spacing w:val="6"/>
                <w:sz w:val="21"/>
                <w:szCs w:val="21"/>
              </w:rPr>
              <w:t>的可采用焊接或机械连接。</w:t>
            </w:r>
          </w:p>
        </w:tc>
      </w:tr>
      <w:tr>
        <w:trPr>
          <w:trHeight w:val="454" w:hRule="atLeast"/>
          <w:jc w:val="center"/>
        </w:trPr>
        <w:tc>
          <w:tcPr>
            <w:tcW w:w="1464"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spacing w:val="6"/>
                <w:sz w:val="21"/>
                <w:szCs w:val="21"/>
              </w:rPr>
            </w:pPr>
            <w:r>
              <w:rPr>
                <w:rFonts w:hint="eastAsia"/>
                <w:spacing w:val="6"/>
                <w:sz w:val="21"/>
                <w:szCs w:val="21"/>
              </w:rPr>
              <w:t>焊条</w:t>
            </w:r>
          </w:p>
        </w:tc>
        <w:tc>
          <w:tcPr>
            <w:tcW w:w="8265" w:type="dxa"/>
            <w:gridSpan w:val="13"/>
            <w:shd w:val="clear" w:color="auto" w:fill="auto"/>
            <w:vAlign w:val="center"/>
          </w:tcPr>
          <w:p>
            <w:pPr>
              <w:pStyle w:val="49"/>
              <w:keepNext w:val="0"/>
              <w:keepLines w:val="0"/>
              <w:widowControl/>
              <w:suppressLineNumbers w:val="0"/>
              <w:shd w:val="clear"/>
              <w:spacing w:before="0" w:beforeAutospacing="0" w:after="0" w:afterAutospacing="0" w:line="240" w:lineRule="auto"/>
              <w:ind w:left="0" w:right="0"/>
              <w:jc w:val="left"/>
              <w:rPr>
                <w:rFonts w:hint="eastAsia" w:eastAsia="宋体"/>
                <w:color w:val="auto"/>
                <w:sz w:val="21"/>
                <w:szCs w:val="21"/>
                <w:lang w:eastAsia="zh-CN"/>
              </w:rPr>
            </w:pPr>
            <w:r>
              <w:rPr>
                <w:rFonts w:cs="宋体"/>
                <w:color w:val="auto"/>
                <w:sz w:val="21"/>
                <w:szCs w:val="21"/>
              </w:rPr>
              <w:t>E43系列用于焊接 HPB300钢筋、Q235B钢板型钢</w:t>
            </w:r>
            <w:r>
              <w:rPr>
                <w:rFonts w:hint="eastAsia" w:cs="宋体"/>
                <w:color w:val="auto"/>
                <w:sz w:val="21"/>
                <w:szCs w:val="21"/>
                <w:lang w:eastAsia="zh-CN"/>
              </w:rPr>
              <w:t>；</w:t>
            </w:r>
            <w:r>
              <w:rPr>
                <w:rFonts w:cs="宋体"/>
                <w:color w:val="auto"/>
                <w:sz w:val="21"/>
                <w:szCs w:val="21"/>
              </w:rPr>
              <w:t xml:space="preserve"> E50系列用于焊接 HRB</w:t>
            </w:r>
            <w:r>
              <w:rPr>
                <w:rFonts w:hint="eastAsia" w:cs="宋体"/>
                <w:color w:val="auto"/>
                <w:sz w:val="21"/>
                <w:szCs w:val="21"/>
                <w:lang w:val="en-US" w:eastAsia="zh-CN"/>
              </w:rPr>
              <w:t>400E</w:t>
            </w:r>
            <w:r>
              <w:rPr>
                <w:rFonts w:cs="宋体"/>
                <w:color w:val="auto"/>
                <w:sz w:val="21"/>
                <w:szCs w:val="21"/>
              </w:rPr>
              <w:t>钢筋</w:t>
            </w:r>
            <w:r>
              <w:rPr>
                <w:rFonts w:hint="eastAsia" w:cs="宋体"/>
                <w:color w:val="auto"/>
                <w:sz w:val="21"/>
                <w:szCs w:val="21"/>
                <w:lang w:eastAsia="zh-CN"/>
              </w:rPr>
              <w:t>，</w:t>
            </w:r>
            <w:r>
              <w:rPr>
                <w:rFonts w:cs="宋体"/>
                <w:color w:val="auto"/>
                <w:sz w:val="21"/>
                <w:szCs w:val="21"/>
              </w:rPr>
              <w:t>Q355B钢板型钢</w:t>
            </w:r>
            <w:r>
              <w:rPr>
                <w:rFonts w:hint="eastAsia" w:cs="宋体"/>
                <w:color w:val="auto"/>
                <w:sz w:val="21"/>
                <w:szCs w:val="21"/>
                <w:lang w:eastAsia="zh-CN"/>
              </w:rPr>
              <w:t>；</w:t>
            </w:r>
            <w:r>
              <w:rPr>
                <w:rFonts w:cs="宋体"/>
                <w:color w:val="auto"/>
                <w:sz w:val="21"/>
                <w:szCs w:val="21"/>
              </w:rPr>
              <w:t>E</w:t>
            </w:r>
            <w:r>
              <w:rPr>
                <w:rFonts w:hint="eastAsia" w:cs="宋体"/>
                <w:color w:val="auto"/>
                <w:sz w:val="21"/>
                <w:szCs w:val="21"/>
                <w:lang w:val="en-US" w:eastAsia="zh-CN"/>
              </w:rPr>
              <w:t>60</w:t>
            </w:r>
            <w:r>
              <w:rPr>
                <w:rFonts w:cs="宋体"/>
                <w:color w:val="auto"/>
                <w:sz w:val="21"/>
                <w:szCs w:val="21"/>
              </w:rPr>
              <w:t>系列用于焊接 HRB</w:t>
            </w:r>
            <w:r>
              <w:rPr>
                <w:rFonts w:hint="eastAsia" w:cs="宋体"/>
                <w:color w:val="auto"/>
                <w:sz w:val="21"/>
                <w:szCs w:val="21"/>
                <w:lang w:val="en-US" w:eastAsia="zh-CN"/>
              </w:rPr>
              <w:t>500E</w:t>
            </w:r>
            <w:r>
              <w:rPr>
                <w:rFonts w:cs="宋体"/>
                <w:color w:val="auto"/>
                <w:sz w:val="21"/>
                <w:szCs w:val="21"/>
              </w:rPr>
              <w:t>钢筋</w:t>
            </w:r>
          </w:p>
          <w:p>
            <w:pPr>
              <w:pStyle w:val="49"/>
              <w:keepNext w:val="0"/>
              <w:keepLines w:val="0"/>
              <w:widowControl/>
              <w:suppressLineNumbers w:val="0"/>
              <w:shd w:val="clear"/>
              <w:spacing w:before="0" w:beforeAutospacing="0" w:after="0" w:afterAutospacing="0" w:line="240" w:lineRule="auto"/>
              <w:ind w:left="0" w:right="0"/>
              <w:jc w:val="left"/>
              <w:rPr>
                <w:rFonts w:cs="宋体"/>
                <w:color w:val="auto"/>
                <w:sz w:val="21"/>
                <w:szCs w:val="21"/>
              </w:rPr>
            </w:pPr>
            <w:r>
              <w:rPr>
                <w:rFonts w:cs="宋体"/>
                <w:color w:val="auto"/>
                <w:sz w:val="21"/>
                <w:szCs w:val="21"/>
              </w:rPr>
              <w:t>焊接两种不同材质钢筋或钢板时</w:t>
            </w:r>
            <w:r>
              <w:rPr>
                <w:rFonts w:hint="eastAsia" w:cs="宋体"/>
                <w:color w:val="auto"/>
                <w:sz w:val="21"/>
                <w:szCs w:val="21"/>
                <w:lang w:eastAsia="zh-CN"/>
              </w:rPr>
              <w:t>，</w:t>
            </w:r>
            <w:r>
              <w:rPr>
                <w:rFonts w:cs="宋体"/>
                <w:color w:val="auto"/>
                <w:sz w:val="21"/>
                <w:szCs w:val="21"/>
              </w:rPr>
              <w:t>焊条应与低强度等级的材质相匹配。钢筋焊接焊条的选用级焊接质量应满足《钢筋焊接及验收规范》JGJ18的要求。</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r>
              <w:rPr>
                <w:rFonts w:hint="eastAsia"/>
                <w:color w:val="auto"/>
                <w:spacing w:val="6"/>
                <w:sz w:val="21"/>
                <w:szCs w:val="21"/>
                <w:highlight w:val="none"/>
              </w:rPr>
              <w:t>本</w:t>
            </w:r>
            <w:r>
              <w:rPr>
                <w:color w:val="auto"/>
                <w:spacing w:val="6"/>
                <w:sz w:val="21"/>
                <w:szCs w:val="21"/>
                <w:highlight w:val="none"/>
              </w:rPr>
              <w:t>工程混凝土结构环境类别</w:t>
            </w:r>
          </w:p>
        </w:tc>
        <w:tc>
          <w:tcPr>
            <w:tcW w:w="4566" w:type="dxa"/>
            <w:gridSpan w:val="8"/>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地下室内水池</w:t>
            </w:r>
          </w:p>
        </w:tc>
        <w:tc>
          <w:tcPr>
            <w:tcW w:w="3699" w:type="dxa"/>
            <w:gridSpan w:val="5"/>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二（b）类</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4566" w:type="dxa"/>
            <w:gridSpan w:val="8"/>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lang w:eastAsia="zh-CN"/>
              </w:rPr>
              <w:t>地面以下、地下室底板顶板侧墙、地下室内部环境</w:t>
            </w:r>
            <w:r>
              <w:rPr>
                <w:rStyle w:val="244"/>
                <w:rFonts w:hint="eastAsia"/>
                <w:color w:val="auto"/>
                <w:spacing w:val="6"/>
                <w:sz w:val="21"/>
                <w:szCs w:val="21"/>
                <w:highlight w:val="none"/>
              </w:rPr>
              <w:t>、</w:t>
            </w:r>
            <w:r>
              <w:rPr>
                <w:rStyle w:val="244"/>
                <w:rFonts w:hint="eastAsia"/>
                <w:color w:val="auto"/>
                <w:spacing w:val="6"/>
                <w:sz w:val="21"/>
                <w:szCs w:val="21"/>
                <w:highlight w:val="none"/>
                <w:lang w:eastAsia="zh-CN"/>
              </w:rPr>
              <w:t>上部</w:t>
            </w:r>
            <w:r>
              <w:rPr>
                <w:rStyle w:val="244"/>
                <w:rFonts w:hint="eastAsia"/>
                <w:color w:val="auto"/>
                <w:spacing w:val="6"/>
                <w:sz w:val="21"/>
                <w:szCs w:val="21"/>
                <w:highlight w:val="none"/>
              </w:rPr>
              <w:t>卫生间</w:t>
            </w:r>
          </w:p>
        </w:tc>
        <w:tc>
          <w:tcPr>
            <w:tcW w:w="3699" w:type="dxa"/>
            <w:gridSpan w:val="5"/>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二（a）类</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4566" w:type="dxa"/>
            <w:gridSpan w:val="8"/>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其他</w:t>
            </w:r>
          </w:p>
        </w:tc>
        <w:tc>
          <w:tcPr>
            <w:tcW w:w="3699" w:type="dxa"/>
            <w:gridSpan w:val="5"/>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一类</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r>
              <w:rPr>
                <w:rFonts w:hint="eastAsia"/>
                <w:color w:val="auto"/>
                <w:spacing w:val="6"/>
                <w:sz w:val="21"/>
                <w:szCs w:val="21"/>
                <w:highlight w:val="none"/>
              </w:rPr>
              <w:t>普通混凝土构件</w:t>
            </w:r>
            <w:r>
              <w:rPr>
                <w:color w:val="auto"/>
                <w:spacing w:val="6"/>
                <w:sz w:val="21"/>
                <w:szCs w:val="21"/>
                <w:highlight w:val="none"/>
              </w:rPr>
              <w:t>最外层钢筋混凝土</w:t>
            </w:r>
            <w:r>
              <w:rPr>
                <w:rFonts w:hint="eastAsia"/>
                <w:color w:val="auto"/>
                <w:spacing w:val="6"/>
                <w:sz w:val="21"/>
                <w:szCs w:val="21"/>
                <w:highlight w:val="none"/>
              </w:rPr>
              <w:t>保护层</w:t>
            </w:r>
            <w:r>
              <w:rPr>
                <w:color w:val="auto"/>
                <w:spacing w:val="6"/>
                <w:sz w:val="21"/>
                <w:szCs w:val="21"/>
                <w:highlight w:val="none"/>
              </w:rPr>
              <w:t>厚度</w:t>
            </w:r>
            <w:r>
              <w:rPr>
                <w:rFonts w:hint="eastAsia"/>
                <w:color w:val="auto"/>
                <w:spacing w:val="6"/>
                <w:sz w:val="21"/>
                <w:szCs w:val="21"/>
                <w:highlight w:val="none"/>
              </w:rPr>
              <w:t>（mm）</w:t>
            </w:r>
          </w:p>
        </w:tc>
        <w:tc>
          <w:tcPr>
            <w:tcW w:w="1252"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环境</w:t>
            </w:r>
            <w:r>
              <w:rPr>
                <w:rStyle w:val="244"/>
                <w:color w:val="auto"/>
                <w:spacing w:val="6"/>
                <w:sz w:val="21"/>
                <w:szCs w:val="21"/>
                <w:highlight w:val="none"/>
              </w:rPr>
              <w:t>类别</w:t>
            </w:r>
          </w:p>
        </w:tc>
        <w:tc>
          <w:tcPr>
            <w:tcW w:w="2429" w:type="dxa"/>
            <w:gridSpan w:val="5"/>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板</w:t>
            </w:r>
            <w:r>
              <w:rPr>
                <w:rStyle w:val="244"/>
                <w:color w:val="auto"/>
                <w:spacing w:val="6"/>
                <w:sz w:val="21"/>
                <w:szCs w:val="21"/>
                <w:highlight w:val="none"/>
              </w:rPr>
              <w:t>、墙、壳</w:t>
            </w:r>
          </w:p>
        </w:tc>
        <w:tc>
          <w:tcPr>
            <w:tcW w:w="4584" w:type="dxa"/>
            <w:gridSpan w:val="7"/>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梁</w:t>
            </w:r>
            <w:r>
              <w:rPr>
                <w:rStyle w:val="244"/>
                <w:color w:val="auto"/>
                <w:spacing w:val="6"/>
                <w:sz w:val="21"/>
                <w:szCs w:val="21"/>
                <w:highlight w:val="none"/>
              </w:rPr>
              <w:t>、柱</w:t>
            </w:r>
            <w:r>
              <w:rPr>
                <w:rStyle w:val="244"/>
                <w:rFonts w:hint="eastAsia"/>
                <w:color w:val="auto"/>
                <w:spacing w:val="6"/>
                <w:sz w:val="21"/>
                <w:szCs w:val="21"/>
                <w:highlight w:val="none"/>
              </w:rPr>
              <w:t>、</w:t>
            </w:r>
            <w:r>
              <w:rPr>
                <w:rStyle w:val="244"/>
                <w:color w:val="auto"/>
                <w:spacing w:val="6"/>
                <w:sz w:val="21"/>
                <w:szCs w:val="21"/>
                <w:highlight w:val="none"/>
              </w:rPr>
              <w:t>杆</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1252"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一</w:t>
            </w:r>
          </w:p>
        </w:tc>
        <w:tc>
          <w:tcPr>
            <w:tcW w:w="2429" w:type="dxa"/>
            <w:gridSpan w:val="5"/>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15</w:t>
            </w:r>
          </w:p>
        </w:tc>
        <w:tc>
          <w:tcPr>
            <w:tcW w:w="4584" w:type="dxa"/>
            <w:gridSpan w:val="7"/>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rPr>
              <w:t>2</w:t>
            </w:r>
            <w:r>
              <w:rPr>
                <w:rStyle w:val="244"/>
                <w:rFonts w:hint="eastAsia"/>
                <w:color w:val="auto"/>
                <w:spacing w:val="6"/>
                <w:sz w:val="21"/>
                <w:szCs w:val="21"/>
                <w:highlight w:val="none"/>
                <w:lang w:val="en-US" w:eastAsia="zh-CN"/>
              </w:rPr>
              <w:t>5</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1252"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二</w:t>
            </w:r>
            <w:r>
              <w:rPr>
                <w:rStyle w:val="244"/>
                <w:color w:val="auto"/>
                <w:spacing w:val="6"/>
                <w:sz w:val="21"/>
                <w:szCs w:val="21"/>
                <w:highlight w:val="none"/>
              </w:rPr>
              <w:t>a</w:t>
            </w:r>
          </w:p>
        </w:tc>
        <w:tc>
          <w:tcPr>
            <w:tcW w:w="2429" w:type="dxa"/>
            <w:gridSpan w:val="5"/>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20</w:t>
            </w:r>
          </w:p>
        </w:tc>
        <w:tc>
          <w:tcPr>
            <w:tcW w:w="4584" w:type="dxa"/>
            <w:gridSpan w:val="7"/>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25</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1252" w:type="dxa"/>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二</w:t>
            </w:r>
            <w:r>
              <w:rPr>
                <w:rStyle w:val="244"/>
                <w:color w:val="auto"/>
                <w:spacing w:val="6"/>
                <w:sz w:val="21"/>
                <w:szCs w:val="21"/>
                <w:highlight w:val="none"/>
              </w:rPr>
              <w:t>b</w:t>
            </w:r>
          </w:p>
        </w:tc>
        <w:tc>
          <w:tcPr>
            <w:tcW w:w="2429" w:type="dxa"/>
            <w:gridSpan w:val="5"/>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25</w:t>
            </w:r>
          </w:p>
        </w:tc>
        <w:tc>
          <w:tcPr>
            <w:tcW w:w="4584" w:type="dxa"/>
            <w:gridSpan w:val="7"/>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35</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p>
        </w:tc>
        <w:tc>
          <w:tcPr>
            <w:tcW w:w="8265" w:type="dxa"/>
            <w:gridSpan w:val="13"/>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注</w:t>
            </w:r>
            <w:r>
              <w:rPr>
                <w:rStyle w:val="244"/>
                <w:color w:val="auto"/>
                <w:spacing w:val="6"/>
                <w:sz w:val="21"/>
                <w:szCs w:val="21"/>
                <w:highlight w:val="none"/>
              </w:rPr>
              <w:t>：混凝土强度等级不大于</w:t>
            </w:r>
            <w:r>
              <w:rPr>
                <w:rStyle w:val="244"/>
                <w:rFonts w:hint="eastAsia"/>
                <w:color w:val="auto"/>
                <w:spacing w:val="6"/>
                <w:sz w:val="21"/>
                <w:szCs w:val="21"/>
                <w:highlight w:val="none"/>
              </w:rPr>
              <w:t>C25时，</w:t>
            </w:r>
            <w:r>
              <w:rPr>
                <w:rStyle w:val="244"/>
                <w:color w:val="auto"/>
                <w:spacing w:val="6"/>
                <w:sz w:val="21"/>
                <w:szCs w:val="21"/>
                <w:highlight w:val="none"/>
              </w:rPr>
              <w:t>上表保护层厚度数值应增加</w:t>
            </w:r>
            <w:r>
              <w:rPr>
                <w:rStyle w:val="244"/>
                <w:rFonts w:hint="eastAsia"/>
                <w:color w:val="auto"/>
                <w:spacing w:val="6"/>
                <w:sz w:val="21"/>
                <w:szCs w:val="21"/>
                <w:highlight w:val="none"/>
              </w:rPr>
              <w:t>5</w:t>
            </w:r>
            <w:r>
              <w:rPr>
                <w:rStyle w:val="244"/>
                <w:color w:val="auto"/>
                <w:spacing w:val="6"/>
                <w:sz w:val="21"/>
                <w:szCs w:val="21"/>
                <w:highlight w:val="none"/>
              </w:rPr>
              <w:t>mm</w:t>
            </w:r>
          </w:p>
        </w:tc>
      </w:tr>
      <w:tr>
        <w:trPr>
          <w:trHeight w:val="539"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r>
              <w:rPr>
                <w:rFonts w:hint="eastAsia"/>
                <w:color w:val="auto"/>
                <w:spacing w:val="6"/>
                <w:sz w:val="21"/>
                <w:szCs w:val="21"/>
                <w:highlight w:val="none"/>
              </w:rPr>
              <w:t>防水混凝土</w:t>
            </w:r>
            <w:r>
              <w:rPr>
                <w:color w:val="auto"/>
                <w:spacing w:val="6"/>
                <w:sz w:val="21"/>
                <w:szCs w:val="21"/>
                <w:highlight w:val="none"/>
              </w:rPr>
              <w:t>构件、基础</w:t>
            </w:r>
            <w:r>
              <w:rPr>
                <w:rFonts w:hint="eastAsia"/>
                <w:color w:val="auto"/>
                <w:spacing w:val="6"/>
                <w:sz w:val="21"/>
                <w:szCs w:val="21"/>
                <w:highlight w:val="none"/>
              </w:rPr>
              <w:t>受力</w:t>
            </w:r>
            <w:r>
              <w:rPr>
                <w:color w:val="auto"/>
                <w:spacing w:val="6"/>
                <w:sz w:val="21"/>
                <w:szCs w:val="21"/>
                <w:highlight w:val="none"/>
              </w:rPr>
              <w:t>钢筋的混凝土保护层厚度</w:t>
            </w:r>
          </w:p>
        </w:tc>
        <w:tc>
          <w:tcPr>
            <w:tcW w:w="1252" w:type="dxa"/>
            <w:vMerge w:val="restart"/>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color w:val="auto"/>
                <w:spacing w:val="6"/>
                <w:sz w:val="21"/>
                <w:szCs w:val="21"/>
                <w:highlight w:val="none"/>
                <w:lang w:eastAsia="zh-CN"/>
              </w:rPr>
            </w:pPr>
            <w:r>
              <w:rPr>
                <w:rStyle w:val="244"/>
                <w:rFonts w:hint="eastAsia"/>
                <w:color w:val="auto"/>
                <w:spacing w:val="6"/>
                <w:sz w:val="21"/>
                <w:szCs w:val="21"/>
                <w:highlight w:val="none"/>
                <w:lang w:eastAsia="zh-CN"/>
              </w:rPr>
              <w:t>承台</w:t>
            </w:r>
          </w:p>
          <w:p>
            <w:pPr>
              <w:pStyle w:val="53"/>
              <w:keepNext w:val="0"/>
              <w:keepLines w:val="0"/>
              <w:suppressLineNumbers w:val="0"/>
              <w:shd w:val="clear"/>
              <w:spacing w:before="0" w:beforeAutospacing="0" w:afterAutospacing="0"/>
              <w:ind w:left="0" w:leftChars="0" w:firstLine="0" w:firstLineChars="0"/>
              <w:jc w:val="center"/>
              <w:rPr>
                <w:rStyle w:val="244"/>
                <w:color w:val="auto"/>
                <w:spacing w:val="6"/>
                <w:sz w:val="21"/>
                <w:szCs w:val="21"/>
                <w:highlight w:val="none"/>
              </w:rPr>
            </w:pPr>
            <w:r>
              <w:rPr>
                <w:rStyle w:val="244"/>
                <w:rFonts w:hint="eastAsia"/>
                <w:color w:val="auto"/>
                <w:spacing w:val="6"/>
                <w:sz w:val="21"/>
                <w:szCs w:val="21"/>
                <w:highlight w:val="none"/>
                <w:lang w:eastAsia="zh-CN"/>
              </w:rPr>
              <w:t>承台梁</w:t>
            </w:r>
          </w:p>
        </w:tc>
        <w:tc>
          <w:tcPr>
            <w:tcW w:w="1898" w:type="dxa"/>
            <w:gridSpan w:val="3"/>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地下室底板</w:t>
            </w:r>
          </w:p>
        </w:tc>
        <w:tc>
          <w:tcPr>
            <w:tcW w:w="1898" w:type="dxa"/>
            <w:gridSpan w:val="5"/>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地下室外墙</w:t>
            </w:r>
          </w:p>
        </w:tc>
        <w:tc>
          <w:tcPr>
            <w:tcW w:w="2033" w:type="dxa"/>
            <w:gridSpan w:val="3"/>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地下室顶板（有覆土）</w:t>
            </w:r>
          </w:p>
        </w:tc>
        <w:tc>
          <w:tcPr>
            <w:tcW w:w="1184" w:type="dxa"/>
            <w:vMerge w:val="restart"/>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水箱水池</w:t>
            </w:r>
          </w:p>
        </w:tc>
      </w:tr>
      <w:tr>
        <w:trPr>
          <w:trHeight w:val="483"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highlight w:val="none"/>
              </w:rPr>
            </w:pPr>
          </w:p>
        </w:tc>
        <w:tc>
          <w:tcPr>
            <w:tcW w:w="1252" w:type="dxa"/>
            <w:vMerge w:val="continue"/>
            <w:tcBorders>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highlight w:val="none"/>
              </w:rPr>
            </w:pP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板</w:t>
            </w:r>
          </w:p>
        </w:tc>
        <w:tc>
          <w:tcPr>
            <w:tcW w:w="9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梁</w:t>
            </w:r>
          </w:p>
        </w:tc>
        <w:tc>
          <w:tcPr>
            <w:tcW w:w="9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墙</w:t>
            </w: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柱</w:t>
            </w: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板</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梁</w:t>
            </w:r>
          </w:p>
        </w:tc>
        <w:tc>
          <w:tcPr>
            <w:tcW w:w="1184" w:type="dxa"/>
            <w:vMerge w:val="continue"/>
            <w:tcBorders>
              <w:left w:val="single" w:color="auto" w:sz="4" w:space="0"/>
              <w:bottom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highlight w:val="none"/>
              </w:rPr>
            </w:pPr>
          </w:p>
        </w:tc>
      </w:tr>
      <w:tr>
        <w:trPr>
          <w:trHeight w:val="958"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Fonts w:hint="eastAsia"/>
                <w:color w:val="auto"/>
                <w:spacing w:val="6"/>
                <w:sz w:val="21"/>
                <w:szCs w:val="21"/>
                <w:highlight w:val="none"/>
              </w:rPr>
            </w:pPr>
          </w:p>
        </w:tc>
        <w:tc>
          <w:tcPr>
            <w:tcW w:w="1252" w:type="dxa"/>
            <w:tcBorders>
              <w:top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sz w:val="21"/>
                <w:szCs w:val="21"/>
                <w:lang w:val="en-US" w:eastAsia="zh-CN"/>
              </w:rPr>
            </w:pPr>
            <w:r>
              <w:rPr>
                <w:rFonts w:hint="eastAsia"/>
                <w:sz w:val="21"/>
                <w:szCs w:val="21"/>
                <w:lang w:eastAsia="zh-CN"/>
              </w:rPr>
              <w:t>上</w:t>
            </w:r>
            <w:r>
              <w:rPr>
                <w:rFonts w:hint="eastAsia"/>
                <w:sz w:val="21"/>
                <w:szCs w:val="21"/>
                <w:lang w:val="en-US" w:eastAsia="zh-CN"/>
              </w:rPr>
              <w:t xml:space="preserve"> 40</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eastAsia"/>
                <w:sz w:val="21"/>
                <w:szCs w:val="21"/>
                <w:lang w:val="en-US" w:eastAsia="zh-CN"/>
              </w:rPr>
            </w:pPr>
            <w:r>
              <w:rPr>
                <w:rFonts w:hint="eastAsia"/>
                <w:sz w:val="21"/>
                <w:szCs w:val="21"/>
                <w:lang w:val="en-US" w:eastAsia="zh-CN"/>
              </w:rPr>
              <w:t>下 50</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default"/>
                <w:sz w:val="21"/>
                <w:szCs w:val="21"/>
                <w:lang w:val="en-US" w:eastAsia="zh-CN"/>
              </w:rPr>
            </w:pPr>
            <w:r>
              <w:rPr>
                <w:rFonts w:hint="eastAsia"/>
                <w:sz w:val="21"/>
                <w:szCs w:val="21"/>
                <w:lang w:val="en-US" w:eastAsia="zh-CN"/>
              </w:rPr>
              <w:t>侧 50</w:t>
            </w: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sz w:val="21"/>
                <w:szCs w:val="21"/>
                <w:lang w:val="en-US" w:eastAsia="zh-CN"/>
              </w:rPr>
            </w:pPr>
            <w:r>
              <w:rPr>
                <w:rFonts w:hint="eastAsia"/>
                <w:sz w:val="21"/>
                <w:szCs w:val="21"/>
                <w:lang w:eastAsia="zh-CN"/>
              </w:rPr>
              <w:t>上</w:t>
            </w:r>
            <w:r>
              <w:rPr>
                <w:rFonts w:hint="eastAsia"/>
                <w:sz w:val="21"/>
                <w:szCs w:val="21"/>
                <w:lang w:val="en-US" w:eastAsia="zh-CN"/>
              </w:rPr>
              <w:t xml:space="preserve"> 20</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Style w:val="244"/>
                <w:color w:val="auto"/>
                <w:spacing w:val="6"/>
                <w:sz w:val="21"/>
                <w:szCs w:val="21"/>
                <w:highlight w:val="none"/>
              </w:rPr>
            </w:pPr>
            <w:r>
              <w:rPr>
                <w:rFonts w:hint="eastAsia"/>
                <w:sz w:val="21"/>
                <w:szCs w:val="21"/>
                <w:lang w:val="en-US" w:eastAsia="zh-CN"/>
              </w:rPr>
              <w:t>下 50</w:t>
            </w:r>
          </w:p>
        </w:tc>
        <w:tc>
          <w:tcPr>
            <w:tcW w:w="9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sz w:val="21"/>
                <w:szCs w:val="21"/>
                <w:lang w:val="en-US" w:eastAsia="zh-CN"/>
              </w:rPr>
            </w:pPr>
            <w:r>
              <w:rPr>
                <w:rFonts w:hint="eastAsia"/>
                <w:sz w:val="21"/>
                <w:szCs w:val="21"/>
                <w:lang w:eastAsia="zh-CN"/>
              </w:rPr>
              <w:t>上</w:t>
            </w:r>
            <w:r>
              <w:rPr>
                <w:rFonts w:hint="eastAsia"/>
                <w:sz w:val="21"/>
                <w:szCs w:val="21"/>
                <w:lang w:val="en-US" w:eastAsia="zh-CN"/>
              </w:rPr>
              <w:t xml:space="preserve"> 25</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eastAsia"/>
                <w:sz w:val="21"/>
                <w:szCs w:val="21"/>
                <w:lang w:val="en-US" w:eastAsia="zh-CN"/>
              </w:rPr>
            </w:pPr>
            <w:r>
              <w:rPr>
                <w:rFonts w:hint="eastAsia"/>
                <w:sz w:val="21"/>
                <w:szCs w:val="21"/>
                <w:lang w:val="en-US" w:eastAsia="zh-CN"/>
              </w:rPr>
              <w:t>下 50</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Style w:val="244"/>
                <w:color w:val="auto"/>
                <w:spacing w:val="6"/>
                <w:sz w:val="21"/>
                <w:szCs w:val="21"/>
                <w:highlight w:val="none"/>
              </w:rPr>
            </w:pPr>
            <w:r>
              <w:rPr>
                <w:rFonts w:hint="eastAsia"/>
                <w:sz w:val="21"/>
                <w:szCs w:val="21"/>
                <w:lang w:val="en-US" w:eastAsia="zh-CN"/>
              </w:rPr>
              <w:t>侧 40</w:t>
            </w:r>
          </w:p>
        </w:tc>
        <w:tc>
          <w:tcPr>
            <w:tcW w:w="9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sz w:val="21"/>
                <w:szCs w:val="21"/>
                <w:lang w:val="en-US" w:eastAsia="zh-CN"/>
              </w:rPr>
            </w:pPr>
            <w:r>
              <w:rPr>
                <w:rFonts w:hint="eastAsia"/>
                <w:sz w:val="21"/>
                <w:szCs w:val="21"/>
                <w:lang w:eastAsia="zh-CN"/>
              </w:rPr>
              <w:t>内</w:t>
            </w:r>
            <w:r>
              <w:rPr>
                <w:rFonts w:hint="eastAsia"/>
                <w:sz w:val="21"/>
                <w:szCs w:val="21"/>
                <w:lang w:val="en-US" w:eastAsia="zh-CN"/>
              </w:rPr>
              <w:t xml:space="preserve"> 20</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Style w:val="244"/>
                <w:color w:val="auto"/>
                <w:spacing w:val="6"/>
                <w:sz w:val="21"/>
                <w:szCs w:val="21"/>
                <w:highlight w:val="none"/>
              </w:rPr>
            </w:pPr>
            <w:r>
              <w:rPr>
                <w:rFonts w:hint="eastAsia"/>
                <w:sz w:val="21"/>
                <w:szCs w:val="21"/>
                <w:lang w:val="en-US" w:eastAsia="zh-CN"/>
              </w:rPr>
              <w:t>外 50</w:t>
            </w: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sz w:val="21"/>
                <w:szCs w:val="21"/>
                <w:lang w:val="en-US" w:eastAsia="zh-CN"/>
              </w:rPr>
            </w:pPr>
            <w:r>
              <w:rPr>
                <w:rFonts w:hint="eastAsia"/>
                <w:sz w:val="21"/>
                <w:szCs w:val="21"/>
                <w:lang w:eastAsia="zh-CN"/>
              </w:rPr>
              <w:t>内</w:t>
            </w:r>
            <w:r>
              <w:rPr>
                <w:rFonts w:hint="eastAsia"/>
                <w:sz w:val="21"/>
                <w:szCs w:val="21"/>
                <w:lang w:val="en-US" w:eastAsia="zh-CN"/>
              </w:rPr>
              <w:t xml:space="preserve"> 30</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Style w:val="244"/>
                <w:color w:val="auto"/>
                <w:spacing w:val="6"/>
                <w:sz w:val="21"/>
                <w:szCs w:val="21"/>
                <w:highlight w:val="none"/>
              </w:rPr>
            </w:pPr>
            <w:r>
              <w:rPr>
                <w:rFonts w:hint="eastAsia"/>
                <w:sz w:val="21"/>
                <w:szCs w:val="21"/>
                <w:lang w:val="en-US" w:eastAsia="zh-CN"/>
              </w:rPr>
              <w:t>外 40</w:t>
            </w:r>
          </w:p>
        </w:tc>
        <w:tc>
          <w:tcPr>
            <w:tcW w:w="9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sz w:val="21"/>
                <w:szCs w:val="21"/>
                <w:lang w:val="en-US" w:eastAsia="zh-CN"/>
              </w:rPr>
            </w:pPr>
            <w:r>
              <w:rPr>
                <w:rFonts w:hint="eastAsia"/>
                <w:sz w:val="21"/>
                <w:szCs w:val="21"/>
                <w:lang w:eastAsia="zh-CN"/>
              </w:rPr>
              <w:t>上</w:t>
            </w:r>
            <w:r>
              <w:rPr>
                <w:rFonts w:hint="eastAsia"/>
                <w:sz w:val="21"/>
                <w:szCs w:val="21"/>
                <w:lang w:val="en-US" w:eastAsia="zh-CN"/>
              </w:rPr>
              <w:t xml:space="preserve"> 25</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Style w:val="244"/>
                <w:color w:val="auto"/>
                <w:spacing w:val="6"/>
                <w:sz w:val="21"/>
                <w:szCs w:val="21"/>
                <w:highlight w:val="none"/>
              </w:rPr>
            </w:pPr>
            <w:r>
              <w:rPr>
                <w:rFonts w:hint="eastAsia"/>
                <w:sz w:val="21"/>
                <w:szCs w:val="21"/>
                <w:lang w:val="en-US" w:eastAsia="zh-CN"/>
              </w:rPr>
              <w:t>下 20</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sz w:val="21"/>
                <w:szCs w:val="21"/>
                <w:lang w:val="en-US" w:eastAsia="zh-CN"/>
              </w:rPr>
            </w:pPr>
            <w:r>
              <w:rPr>
                <w:rFonts w:hint="eastAsia"/>
                <w:sz w:val="21"/>
                <w:szCs w:val="21"/>
                <w:lang w:eastAsia="zh-CN"/>
              </w:rPr>
              <w:t>上</w:t>
            </w:r>
            <w:r>
              <w:rPr>
                <w:rFonts w:hint="eastAsia"/>
                <w:sz w:val="21"/>
                <w:szCs w:val="21"/>
                <w:lang w:val="en-US" w:eastAsia="zh-CN"/>
              </w:rPr>
              <w:t xml:space="preserve"> 35</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default"/>
                <w:sz w:val="21"/>
                <w:szCs w:val="21"/>
                <w:lang w:val="en-US" w:eastAsia="zh-CN"/>
              </w:rPr>
            </w:pPr>
            <w:r>
              <w:rPr>
                <w:rFonts w:hint="eastAsia"/>
                <w:sz w:val="21"/>
                <w:szCs w:val="21"/>
                <w:lang w:val="en-US" w:eastAsia="zh-CN"/>
              </w:rPr>
              <w:t>下 25</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Style w:val="244"/>
                <w:rFonts w:hint="default"/>
                <w:color w:val="auto"/>
                <w:spacing w:val="6"/>
                <w:sz w:val="21"/>
                <w:szCs w:val="21"/>
                <w:highlight w:val="none"/>
                <w:lang w:val="en-US"/>
              </w:rPr>
            </w:pPr>
            <w:r>
              <w:rPr>
                <w:rFonts w:hint="eastAsia"/>
                <w:sz w:val="21"/>
                <w:szCs w:val="21"/>
                <w:lang w:val="en-US" w:eastAsia="zh-CN"/>
              </w:rPr>
              <w:t>侧 25</w:t>
            </w:r>
          </w:p>
        </w:tc>
        <w:tc>
          <w:tcPr>
            <w:tcW w:w="1184" w:type="dxa"/>
            <w:tcBorders>
              <w:top w:val="single" w:color="auto" w:sz="4" w:space="0"/>
              <w:left w:val="single" w:color="auto" w:sz="4" w:space="0"/>
              <w:bottom w:val="single" w:color="auto"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sz w:val="21"/>
                <w:szCs w:val="21"/>
                <w:lang w:val="en-US" w:eastAsia="zh-CN"/>
              </w:rPr>
            </w:pPr>
            <w:r>
              <w:rPr>
                <w:rFonts w:hint="eastAsia"/>
                <w:sz w:val="21"/>
                <w:szCs w:val="21"/>
                <w:lang w:eastAsia="zh-CN"/>
              </w:rPr>
              <w:t>内</w:t>
            </w:r>
            <w:r>
              <w:rPr>
                <w:rFonts w:hint="eastAsia"/>
                <w:sz w:val="21"/>
                <w:szCs w:val="21"/>
                <w:lang w:val="en-US" w:eastAsia="zh-CN"/>
              </w:rPr>
              <w:t xml:space="preserve"> 50</w:t>
            </w:r>
          </w:p>
          <w:p>
            <w:pPr>
              <w:pStyle w:val="5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Style w:val="244"/>
                <w:color w:val="auto"/>
                <w:spacing w:val="6"/>
                <w:sz w:val="21"/>
                <w:szCs w:val="21"/>
                <w:highlight w:val="none"/>
              </w:rPr>
            </w:pPr>
            <w:r>
              <w:rPr>
                <w:rFonts w:hint="eastAsia"/>
                <w:sz w:val="21"/>
                <w:szCs w:val="21"/>
                <w:lang w:val="en-US" w:eastAsia="zh-CN"/>
              </w:rPr>
              <w:t>外 20</w:t>
            </w:r>
          </w:p>
        </w:tc>
      </w:tr>
      <w:tr>
        <w:trPr>
          <w:trHeight w:val="454" w:hRule="atLeast"/>
          <w:jc w:val="center"/>
        </w:trPr>
        <w:tc>
          <w:tcPr>
            <w:tcW w:w="1464" w:type="dxa"/>
            <w:vMerge w:val="restart"/>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color w:val="auto"/>
                <w:spacing w:val="6"/>
                <w:sz w:val="21"/>
                <w:szCs w:val="21"/>
                <w:highlight w:val="none"/>
              </w:rPr>
            </w:pPr>
            <w:r>
              <w:rPr>
                <w:rFonts w:hint="eastAsia"/>
                <w:color w:val="auto"/>
                <w:spacing w:val="6"/>
                <w:sz w:val="21"/>
                <w:szCs w:val="21"/>
                <w:highlight w:val="none"/>
              </w:rPr>
              <w:t>填充砌体</w:t>
            </w:r>
          </w:p>
        </w:tc>
        <w:tc>
          <w:tcPr>
            <w:tcW w:w="5970" w:type="dxa"/>
            <w:gridSpan w:val="10"/>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jc w:val="center"/>
              <w:rPr>
                <w:rStyle w:val="244"/>
                <w:color w:val="auto"/>
                <w:spacing w:val="6"/>
                <w:sz w:val="21"/>
                <w:szCs w:val="21"/>
                <w:highlight w:val="none"/>
              </w:rPr>
            </w:pPr>
            <w:r>
              <w:rPr>
                <w:rStyle w:val="244"/>
                <w:rFonts w:hint="eastAsia"/>
                <w:color w:val="auto"/>
                <w:spacing w:val="6"/>
                <w:sz w:val="21"/>
                <w:szCs w:val="21"/>
                <w:highlight w:val="none"/>
              </w:rPr>
              <w:t>砖</w:t>
            </w:r>
            <w:r>
              <w:rPr>
                <w:rStyle w:val="244"/>
                <w:color w:val="auto"/>
                <w:spacing w:val="6"/>
                <w:sz w:val="21"/>
                <w:szCs w:val="21"/>
                <w:highlight w:val="none"/>
              </w:rPr>
              <w:t>、砌块强度等级</w:t>
            </w:r>
          </w:p>
        </w:tc>
        <w:tc>
          <w:tcPr>
            <w:tcW w:w="2295" w:type="dxa"/>
            <w:gridSpan w:val="3"/>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砂浆</w:t>
            </w:r>
            <w:r>
              <w:rPr>
                <w:rStyle w:val="244"/>
                <w:color w:val="auto"/>
                <w:spacing w:val="6"/>
                <w:sz w:val="21"/>
                <w:szCs w:val="21"/>
                <w:highlight w:val="none"/>
              </w:rPr>
              <w:t>强度等级</w:t>
            </w:r>
          </w:p>
        </w:tc>
      </w:tr>
      <w:tr>
        <w:trPr>
          <w:trHeight w:val="89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p>
        </w:tc>
        <w:tc>
          <w:tcPr>
            <w:tcW w:w="1725" w:type="dxa"/>
            <w:gridSpan w:val="2"/>
            <w:tcBorders>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rPr>
              <w:t>地面以下</w:t>
            </w:r>
            <w:r>
              <w:rPr>
                <w:rStyle w:val="244"/>
                <w:rFonts w:hint="eastAsia"/>
                <w:color w:val="auto"/>
                <w:spacing w:val="6"/>
                <w:sz w:val="21"/>
                <w:szCs w:val="21"/>
                <w:highlight w:val="none"/>
                <w:lang w:eastAsia="zh-CN"/>
              </w:rPr>
              <w:t>与土直接接触的墙体</w:t>
            </w:r>
          </w:p>
        </w:tc>
        <w:tc>
          <w:tcPr>
            <w:tcW w:w="4245" w:type="dxa"/>
            <w:gridSpan w:val="8"/>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MU</w:t>
            </w:r>
            <w:r>
              <w:rPr>
                <w:rStyle w:val="244"/>
                <w:color w:val="auto"/>
                <w:spacing w:val="6"/>
                <w:sz w:val="21"/>
                <w:szCs w:val="21"/>
                <w:highlight w:val="none"/>
              </w:rPr>
              <w:t>20</w:t>
            </w:r>
            <w:r>
              <w:rPr>
                <w:rStyle w:val="244"/>
                <w:rFonts w:hint="eastAsia"/>
                <w:color w:val="auto"/>
                <w:spacing w:val="6"/>
                <w:sz w:val="21"/>
                <w:szCs w:val="21"/>
                <w:highlight w:val="none"/>
              </w:rPr>
              <w:t>混凝土实心砖</w:t>
            </w:r>
          </w:p>
        </w:tc>
        <w:tc>
          <w:tcPr>
            <w:tcW w:w="2295" w:type="dxa"/>
            <w:gridSpan w:val="3"/>
            <w:tcBorders>
              <w:left w:val="single" w:color="auto" w:sz="4" w:space="0"/>
              <w:bottom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D</w:t>
            </w:r>
            <w:r>
              <w:rPr>
                <w:rStyle w:val="244"/>
                <w:rFonts w:hint="eastAsia"/>
                <w:color w:val="auto"/>
                <w:spacing w:val="6"/>
                <w:sz w:val="21"/>
                <w:szCs w:val="21"/>
                <w:highlight w:val="none"/>
                <w:lang w:val="en-US" w:eastAsia="zh-CN"/>
              </w:rPr>
              <w:t xml:space="preserve">M </w:t>
            </w:r>
            <w:r>
              <w:rPr>
                <w:rStyle w:val="244"/>
                <w:rFonts w:hint="eastAsia"/>
                <w:color w:val="auto"/>
                <w:spacing w:val="6"/>
                <w:sz w:val="21"/>
                <w:szCs w:val="21"/>
                <w:highlight w:val="none"/>
              </w:rPr>
              <w:t>M</w:t>
            </w:r>
            <w:r>
              <w:rPr>
                <w:rStyle w:val="244"/>
                <w:color w:val="auto"/>
                <w:spacing w:val="6"/>
                <w:sz w:val="21"/>
                <w:szCs w:val="21"/>
                <w:highlight w:val="none"/>
              </w:rPr>
              <w:t>1</w:t>
            </w:r>
            <w:r>
              <w:rPr>
                <w:rStyle w:val="244"/>
                <w:rFonts w:hint="eastAsia"/>
                <w:color w:val="auto"/>
                <w:spacing w:val="6"/>
                <w:sz w:val="21"/>
                <w:szCs w:val="21"/>
                <w:highlight w:val="none"/>
                <w:lang w:val="en-US" w:eastAsia="zh-CN"/>
              </w:rPr>
              <w:t>0</w:t>
            </w:r>
            <w:r>
              <w:rPr>
                <w:rStyle w:val="244"/>
                <w:rFonts w:hint="eastAsia"/>
                <w:color w:val="auto"/>
                <w:spacing w:val="6"/>
                <w:sz w:val="21"/>
                <w:szCs w:val="21"/>
                <w:highlight w:val="none"/>
              </w:rPr>
              <w:t>水泥砂浆</w:t>
            </w:r>
          </w:p>
        </w:tc>
      </w:tr>
      <w:tr>
        <w:trPr>
          <w:trHeight w:val="366"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p>
        </w:tc>
        <w:tc>
          <w:tcPr>
            <w:tcW w:w="1725" w:type="dxa"/>
            <w:gridSpan w:val="2"/>
            <w:tcBorders>
              <w:top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eastAsia="宋体"/>
                <w:color w:val="auto"/>
                <w:spacing w:val="6"/>
                <w:sz w:val="21"/>
                <w:szCs w:val="21"/>
                <w:highlight w:val="none"/>
                <w:lang w:eastAsia="zh-CN"/>
              </w:rPr>
            </w:pPr>
            <w:r>
              <w:rPr>
                <w:rStyle w:val="244"/>
                <w:rFonts w:hint="eastAsia"/>
                <w:color w:val="auto"/>
                <w:spacing w:val="6"/>
                <w:sz w:val="21"/>
                <w:szCs w:val="21"/>
                <w:highlight w:val="none"/>
                <w:lang w:eastAsia="zh-CN"/>
              </w:rPr>
              <w:t>地下室内隔墙</w:t>
            </w:r>
          </w:p>
        </w:tc>
        <w:tc>
          <w:tcPr>
            <w:tcW w:w="4245" w:type="dxa"/>
            <w:gridSpan w:val="8"/>
            <w:tcBorders>
              <w:top w:val="single" w:color="auto" w:sz="4" w:space="0"/>
              <w:left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auto"/>
                <w:spacing w:val="6"/>
                <w:sz w:val="21"/>
                <w:szCs w:val="21"/>
                <w:highlight w:val="none"/>
              </w:rPr>
            </w:pPr>
            <w:r>
              <w:rPr>
                <w:rStyle w:val="244"/>
                <w:rFonts w:hint="eastAsia"/>
                <w:color w:val="auto"/>
                <w:spacing w:val="6"/>
                <w:sz w:val="21"/>
                <w:szCs w:val="21"/>
                <w:highlight w:val="none"/>
              </w:rPr>
              <w:t>MU</w:t>
            </w:r>
            <w:r>
              <w:rPr>
                <w:rStyle w:val="244"/>
                <w:rFonts w:hint="eastAsia"/>
                <w:color w:val="auto"/>
                <w:spacing w:val="6"/>
                <w:sz w:val="21"/>
                <w:szCs w:val="21"/>
                <w:highlight w:val="none"/>
                <w:lang w:val="en-US" w:eastAsia="zh-CN"/>
              </w:rPr>
              <w:t>1</w:t>
            </w:r>
            <w:r>
              <w:rPr>
                <w:rStyle w:val="244"/>
                <w:rFonts w:hint="eastAsia"/>
                <w:color w:val="auto"/>
                <w:spacing w:val="6"/>
                <w:sz w:val="21"/>
                <w:szCs w:val="21"/>
                <w:highlight w:val="none"/>
              </w:rPr>
              <w:t>0混凝土多孔砖</w:t>
            </w:r>
          </w:p>
        </w:tc>
        <w:tc>
          <w:tcPr>
            <w:tcW w:w="2295" w:type="dxa"/>
            <w:gridSpan w:val="3"/>
            <w:tcBorders>
              <w:top w:val="single" w:color="auto" w:sz="4" w:space="0"/>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eastAsia"/>
                <w:color w:val="auto"/>
                <w:spacing w:val="6"/>
                <w:sz w:val="21"/>
                <w:szCs w:val="21"/>
                <w:highlight w:val="none"/>
              </w:rPr>
            </w:pPr>
            <w:r>
              <w:rPr>
                <w:rStyle w:val="244"/>
                <w:rFonts w:hint="eastAsia"/>
                <w:color w:val="auto"/>
                <w:spacing w:val="6"/>
                <w:sz w:val="21"/>
                <w:szCs w:val="21"/>
                <w:highlight w:val="none"/>
              </w:rPr>
              <w:t>D</w:t>
            </w:r>
            <w:r>
              <w:rPr>
                <w:rStyle w:val="244"/>
                <w:rFonts w:hint="eastAsia"/>
                <w:color w:val="auto"/>
                <w:spacing w:val="6"/>
                <w:sz w:val="21"/>
                <w:szCs w:val="21"/>
                <w:highlight w:val="none"/>
                <w:lang w:val="en-US" w:eastAsia="zh-CN"/>
              </w:rPr>
              <w:t xml:space="preserve">M </w:t>
            </w:r>
            <w:r>
              <w:rPr>
                <w:rStyle w:val="244"/>
                <w:rFonts w:hint="eastAsia"/>
                <w:color w:val="auto"/>
                <w:spacing w:val="6"/>
                <w:sz w:val="21"/>
                <w:szCs w:val="21"/>
                <w:highlight w:val="none"/>
              </w:rPr>
              <w:t>M</w:t>
            </w:r>
            <w:r>
              <w:rPr>
                <w:rStyle w:val="244"/>
                <w:color w:val="auto"/>
                <w:spacing w:val="6"/>
                <w:sz w:val="21"/>
                <w:szCs w:val="21"/>
                <w:highlight w:val="none"/>
              </w:rPr>
              <w:t>1</w:t>
            </w:r>
            <w:r>
              <w:rPr>
                <w:rStyle w:val="244"/>
                <w:rFonts w:hint="eastAsia"/>
                <w:color w:val="auto"/>
                <w:spacing w:val="6"/>
                <w:sz w:val="21"/>
                <w:szCs w:val="21"/>
                <w:highlight w:val="none"/>
                <w:lang w:val="en-US" w:eastAsia="zh-CN"/>
              </w:rPr>
              <w:t>0</w:t>
            </w:r>
            <w:r>
              <w:rPr>
                <w:rStyle w:val="244"/>
                <w:rFonts w:hint="eastAsia"/>
                <w:color w:val="auto"/>
                <w:spacing w:val="6"/>
                <w:sz w:val="21"/>
                <w:szCs w:val="21"/>
                <w:highlight w:val="none"/>
              </w:rPr>
              <w:t>水泥砂浆</w:t>
            </w:r>
          </w:p>
        </w:tc>
      </w:tr>
      <w:tr>
        <w:trPr>
          <w:trHeight w:val="454" w:hRule="atLeast"/>
          <w:jc w:val="center"/>
        </w:trPr>
        <w:tc>
          <w:tcPr>
            <w:tcW w:w="1464" w:type="dxa"/>
            <w:vMerge w:val="continue"/>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color w:val="auto"/>
                <w:spacing w:val="6"/>
                <w:sz w:val="21"/>
                <w:szCs w:val="21"/>
                <w:highlight w:val="none"/>
              </w:rPr>
            </w:pPr>
          </w:p>
        </w:tc>
        <w:tc>
          <w:tcPr>
            <w:tcW w:w="1725" w:type="dxa"/>
            <w:gridSpan w:val="2"/>
            <w:tcBorders>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color w:val="auto"/>
                <w:spacing w:val="6"/>
                <w:sz w:val="21"/>
                <w:szCs w:val="21"/>
                <w:highlight w:val="none"/>
              </w:rPr>
            </w:pPr>
            <w:r>
              <w:rPr>
                <w:rStyle w:val="244"/>
                <w:rFonts w:hint="eastAsia"/>
                <w:color w:val="auto"/>
                <w:spacing w:val="6"/>
                <w:sz w:val="21"/>
                <w:szCs w:val="21"/>
                <w:highlight w:val="none"/>
              </w:rPr>
              <w:t>地面以上</w:t>
            </w:r>
          </w:p>
        </w:tc>
        <w:tc>
          <w:tcPr>
            <w:tcW w:w="4245" w:type="dxa"/>
            <w:gridSpan w:val="8"/>
            <w:tcBorders>
              <w:left w:val="single" w:color="auto" w:sz="4" w:space="0"/>
              <w:righ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Fonts w:hint="default"/>
                <w:color w:val="auto"/>
                <w:sz w:val="21"/>
                <w:szCs w:val="21"/>
                <w:lang w:val="en-US" w:eastAsia="zh-CN"/>
              </w:rPr>
            </w:pPr>
            <w:r>
              <w:rPr>
                <w:rFonts w:hint="eastAsia"/>
                <w:color w:val="auto"/>
                <w:sz w:val="21"/>
                <w:szCs w:val="21"/>
                <w:lang w:eastAsia="zh-CN"/>
              </w:rPr>
              <w:t>外墙：</w:t>
            </w:r>
            <w:r>
              <w:rPr>
                <w:rFonts w:hint="eastAsia"/>
                <w:color w:val="auto"/>
                <w:sz w:val="21"/>
                <w:szCs w:val="21"/>
                <w:lang w:val="en-US" w:eastAsia="zh-CN"/>
              </w:rPr>
              <w:t>MU15粉煤灰烧结多孔砖、240保温陶粒砌块</w:t>
            </w:r>
          </w:p>
          <w:p>
            <w:pPr>
              <w:keepNext w:val="0"/>
              <w:keepLines w:val="0"/>
              <w:suppressLineNumbers w:val="0"/>
              <w:shd w:val="clear"/>
              <w:adjustRightInd w:val="0"/>
              <w:snapToGrid w:val="0"/>
              <w:spacing w:before="0" w:beforeAutospacing="0" w:after="0" w:afterAutospacing="0" w:line="240" w:lineRule="auto"/>
              <w:ind w:left="0" w:right="0"/>
              <w:rPr>
                <w:rFonts w:hint="default"/>
                <w:color w:val="auto"/>
                <w:sz w:val="21"/>
                <w:szCs w:val="21"/>
                <w:lang w:val="en-US" w:eastAsia="zh-CN"/>
              </w:rPr>
            </w:pPr>
            <w:r>
              <w:rPr>
                <w:rFonts w:hint="eastAsia"/>
                <w:color w:val="auto"/>
                <w:sz w:val="21"/>
                <w:szCs w:val="21"/>
                <w:lang w:val="en-US" w:eastAsia="zh-CN"/>
              </w:rPr>
              <w:t>内墙：B06蒸压砂加气混凝土砌块</w:t>
            </w:r>
          </w:p>
        </w:tc>
        <w:tc>
          <w:tcPr>
            <w:tcW w:w="2295" w:type="dxa"/>
            <w:gridSpan w:val="3"/>
            <w:tcBorders>
              <w:left w:val="single" w:color="auto" w:sz="4" w:space="0"/>
            </w:tcBorders>
            <w:shd w:val="clear" w:color="auto" w:fill="auto"/>
            <w:vAlign w:val="center"/>
          </w:tcPr>
          <w:p>
            <w:pPr>
              <w:keepNext w:val="0"/>
              <w:keepLines w:val="0"/>
              <w:suppressLineNumbers w:val="0"/>
              <w:shd w:val="clear"/>
              <w:adjustRightInd w:val="0"/>
              <w:snapToGrid w:val="0"/>
              <w:spacing w:before="0" w:beforeAutospacing="0" w:after="0" w:afterAutospacing="0" w:line="240" w:lineRule="auto"/>
              <w:ind w:left="0" w:right="0"/>
              <w:rPr>
                <w:rStyle w:val="244"/>
                <w:rFonts w:hint="default" w:eastAsia="宋体"/>
                <w:color w:val="auto"/>
                <w:spacing w:val="6"/>
                <w:sz w:val="21"/>
                <w:szCs w:val="21"/>
                <w:highlight w:val="none"/>
                <w:lang w:val="en-US" w:eastAsia="zh-CN"/>
              </w:rPr>
            </w:pPr>
            <w:r>
              <w:rPr>
                <w:rStyle w:val="244"/>
                <w:rFonts w:hint="eastAsia"/>
                <w:color w:val="auto"/>
                <w:spacing w:val="6"/>
                <w:sz w:val="21"/>
                <w:szCs w:val="21"/>
                <w:highlight w:val="none"/>
                <w:lang w:eastAsia="zh-CN"/>
              </w:rPr>
              <w:t>专用</w:t>
            </w:r>
            <w:r>
              <w:rPr>
                <w:rStyle w:val="244"/>
                <w:rFonts w:hint="eastAsia"/>
                <w:color w:val="auto"/>
                <w:spacing w:val="6"/>
                <w:sz w:val="21"/>
                <w:szCs w:val="21"/>
                <w:highlight w:val="none"/>
                <w:lang w:val="en-US" w:eastAsia="zh-CN"/>
              </w:rPr>
              <w:t>粘结剂</w:t>
            </w:r>
          </w:p>
        </w:tc>
      </w:tr>
    </w:tbl>
    <w:p>
      <w:pPr>
        <w:pStyle w:val="7"/>
        <w:shd w:val="clear"/>
        <w:bidi w:val="0"/>
        <w:rPr>
          <w:rFonts w:hint="eastAsia"/>
          <w:lang w:eastAsia="zh-CN"/>
        </w:rPr>
      </w:pPr>
      <w:bookmarkStart w:id="10" w:name="_Toc404843020"/>
      <w:bookmarkStart w:id="11" w:name="_Toc404862797"/>
      <w:bookmarkStart w:id="12" w:name="_Toc404257537"/>
      <w:bookmarkStart w:id="13" w:name="_Toc184540376"/>
      <w:r>
        <w:rPr>
          <w:rFonts w:hint="eastAsia"/>
          <w:lang w:val="en-US" w:eastAsia="zh-CN"/>
        </w:rPr>
        <w:t>5、</w:t>
      </w:r>
      <w:r>
        <w:rPr>
          <w:rFonts w:hint="eastAsia"/>
          <w:lang w:eastAsia="zh-CN"/>
        </w:rPr>
        <w:t>机电工程</w:t>
      </w:r>
    </w:p>
    <w:p>
      <w:pPr>
        <w:widowControl/>
        <w:shd w:val="clear"/>
        <w:ind w:firstLine="480" w:firstLineChars="200"/>
        <w:rPr>
          <w:color w:val="auto"/>
          <w:szCs w:val="24"/>
        </w:rPr>
      </w:pPr>
      <w:r>
        <w:rPr>
          <w:rFonts w:hint="eastAsia"/>
          <w:color w:val="auto"/>
          <w:szCs w:val="24"/>
        </w:rPr>
        <w:t>机电工程主要包括</w:t>
      </w:r>
      <w:r>
        <w:rPr>
          <w:rFonts w:hint="eastAsia"/>
          <w:color w:val="auto"/>
          <w:szCs w:val="24"/>
          <w:lang w:val="en-US" w:bidi="ar"/>
        </w:rPr>
        <w:t>给排水、电气、消防、暖通、空调、抗震支架、智能化</w:t>
      </w:r>
      <w:r>
        <w:rPr>
          <w:rFonts w:hint="eastAsia"/>
          <w:color w:val="auto"/>
          <w:szCs w:val="24"/>
          <w:lang w:val="en-US" w:eastAsia="zh-CN" w:bidi="ar"/>
        </w:rPr>
        <w:t>……</w:t>
      </w:r>
      <w:r>
        <w:rPr>
          <w:rFonts w:hint="eastAsia"/>
          <w:color w:val="auto"/>
          <w:szCs w:val="24"/>
        </w:rPr>
        <w:t>等。</w:t>
      </w:r>
    </w:p>
    <w:p>
      <w:pPr>
        <w:pStyle w:val="7"/>
        <w:shd w:val="clear"/>
        <w:bidi w:val="0"/>
        <w:rPr>
          <w:rFonts w:hint="eastAsia"/>
          <w:color w:val="auto"/>
          <w:lang w:val="en-US" w:eastAsia="zh-CN"/>
        </w:rPr>
      </w:pPr>
      <w:r>
        <w:rPr>
          <w:rFonts w:hint="eastAsia"/>
          <w:color w:val="auto"/>
          <w:lang w:val="en-US" w:eastAsia="zh-CN"/>
        </w:rPr>
        <w:t>6、室外工程</w:t>
      </w: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r>
        <w:rPr>
          <w:rFonts w:hint="eastAsia"/>
          <w:color w:val="auto"/>
          <w:szCs w:val="24"/>
        </w:rPr>
        <w:t>室外工程主要包括</w:t>
      </w:r>
      <w:r>
        <w:rPr>
          <w:color w:val="auto"/>
          <w:spacing w:val="-4"/>
          <w:szCs w:val="24"/>
        </w:rPr>
        <w:t>道路</w:t>
      </w:r>
      <w:r>
        <w:rPr>
          <w:rFonts w:hint="eastAsia"/>
          <w:color w:val="auto"/>
          <w:spacing w:val="-4"/>
          <w:szCs w:val="24"/>
        </w:rPr>
        <w:t>工程</w:t>
      </w:r>
      <w:r>
        <w:rPr>
          <w:color w:val="auto"/>
          <w:spacing w:val="-4"/>
          <w:szCs w:val="24"/>
        </w:rPr>
        <w:t>、照明电气、绿</w:t>
      </w:r>
      <w:r>
        <w:rPr>
          <w:color w:val="auto"/>
          <w:szCs w:val="24"/>
        </w:rPr>
        <w:t>化景观、</w:t>
      </w:r>
      <w:r>
        <w:rPr>
          <w:rFonts w:hint="eastAsia"/>
          <w:color w:val="auto"/>
          <w:szCs w:val="24"/>
        </w:rPr>
        <w:t>室外</w:t>
      </w:r>
      <w:r>
        <w:rPr>
          <w:color w:val="auto"/>
          <w:szCs w:val="24"/>
        </w:rPr>
        <w:t>给排水</w:t>
      </w:r>
      <w:r>
        <w:rPr>
          <w:rFonts w:hint="eastAsia"/>
          <w:color w:val="auto"/>
          <w:szCs w:val="24"/>
        </w:rPr>
        <w:t>、海绵工程、交通工程标识标牌</w:t>
      </w:r>
      <w:r>
        <w:rPr>
          <w:rFonts w:hint="eastAsia"/>
          <w:color w:val="auto"/>
          <w:szCs w:val="24"/>
          <w:lang w:eastAsia="zh-CN"/>
        </w:rPr>
        <w:t>……</w:t>
      </w:r>
      <w:r>
        <w:rPr>
          <w:rFonts w:hint="eastAsia"/>
          <w:color w:val="auto"/>
          <w:szCs w:val="24"/>
        </w:rPr>
        <w:t>等</w:t>
      </w:r>
      <w:r>
        <w:rPr>
          <w:rFonts w:hint="eastAsia"/>
          <w:color w:val="auto"/>
          <w:lang w:val="en-US" w:eastAsia="zh-CN"/>
        </w:rPr>
        <w:t>。</w:t>
      </w: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keepNext w:val="0"/>
        <w:keepLines w:val="0"/>
        <w:widowControl w:val="0"/>
        <w:numPr>
          <w:ilvl w:val="0"/>
          <w:numId w:val="0"/>
        </w:numPr>
        <w:suppressLineNumbers w:val="0"/>
        <w:shd w:val="clear"/>
        <w:autoSpaceDE w:val="0"/>
        <w:autoSpaceDN w:val="0"/>
        <w:adjustRightInd w:val="0"/>
        <w:snapToGrid w:val="0"/>
        <w:spacing w:before="0" w:beforeAutospacing="0" w:after="0" w:afterAutospacing="0" w:line="300" w:lineRule="auto"/>
        <w:ind w:left="0" w:leftChars="0" w:right="0" w:rightChars="0" w:firstLine="480" w:firstLineChars="200"/>
        <w:jc w:val="left"/>
        <w:rPr>
          <w:rFonts w:hint="eastAsia"/>
          <w:color w:val="auto"/>
          <w:lang w:val="en-US" w:eastAsia="zh-CN"/>
        </w:rPr>
      </w:pPr>
    </w:p>
    <w:p>
      <w:pPr>
        <w:pStyle w:val="4"/>
        <w:shd w:val="clear"/>
        <w:bidi w:val="0"/>
        <w:rPr>
          <w:rFonts w:hint="eastAsia"/>
          <w:lang w:val="en-US" w:eastAsia="zh-CN"/>
        </w:rPr>
      </w:pPr>
      <w:bookmarkStart w:id="14" w:name="_Toc9167"/>
      <w:r>
        <w:rPr>
          <w:rFonts w:hint="eastAsia"/>
          <w:lang w:val="en-US" w:eastAsia="zh-CN"/>
        </w:rPr>
        <w:t>第三节  周边环境</w:t>
      </w:r>
      <w:bookmarkEnd w:id="14"/>
    </w:p>
    <w:tbl>
      <w:tblPr>
        <w:tblStyle w:val="55"/>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07"/>
        <w:gridCol w:w="7128"/>
        <w:gridCol w:w="1807"/>
      </w:tblGrid>
      <w:tr>
        <w:trPr>
          <w:tblHeader/>
          <w:jc w:val="center"/>
        </w:trPr>
        <w:tc>
          <w:tcPr>
            <w:tcW w:w="807" w:type="dxa"/>
            <w:shd w:val="clear" w:color="auto" w:fill="auto"/>
            <w:vAlign w:val="top"/>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b/>
                <w:bCs/>
                <w:sz w:val="21"/>
                <w:szCs w:val="21"/>
                <w:vertAlign w:val="baseline"/>
                <w:lang w:eastAsia="zh-CN"/>
              </w:rPr>
            </w:pPr>
            <w:r>
              <w:rPr>
                <w:rFonts w:hint="eastAsia"/>
                <w:b/>
                <w:bCs/>
                <w:sz w:val="21"/>
                <w:szCs w:val="21"/>
                <w:vertAlign w:val="baseline"/>
                <w:lang w:eastAsia="zh-CN"/>
              </w:rPr>
              <w:t>序号</w:t>
            </w:r>
          </w:p>
        </w:tc>
        <w:tc>
          <w:tcPr>
            <w:tcW w:w="7128" w:type="dxa"/>
            <w:shd w:val="clear" w:color="auto" w:fill="auto"/>
            <w:vAlign w:val="top"/>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eastAsia="宋体"/>
                <w:b/>
                <w:bCs/>
                <w:sz w:val="21"/>
                <w:szCs w:val="21"/>
                <w:vertAlign w:val="baseline"/>
                <w:lang w:eastAsia="zh-CN"/>
              </w:rPr>
            </w:pPr>
            <w:r>
              <w:rPr>
                <w:rFonts w:hint="eastAsia"/>
                <w:b/>
                <w:bCs/>
                <w:sz w:val="21"/>
                <w:szCs w:val="21"/>
                <w:vertAlign w:val="baseline"/>
                <w:lang w:eastAsia="zh-CN"/>
              </w:rPr>
              <w:t>方位照片</w:t>
            </w:r>
          </w:p>
        </w:tc>
        <w:tc>
          <w:tcPr>
            <w:tcW w:w="1807" w:type="dxa"/>
            <w:shd w:val="clear" w:color="auto" w:fill="auto"/>
            <w:vAlign w:val="top"/>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eastAsia="宋体"/>
                <w:b/>
                <w:bCs/>
                <w:sz w:val="21"/>
                <w:szCs w:val="21"/>
                <w:vertAlign w:val="baseline"/>
                <w:lang w:eastAsia="zh-CN"/>
              </w:rPr>
            </w:pPr>
            <w:r>
              <w:rPr>
                <w:rFonts w:hint="eastAsia"/>
                <w:b/>
                <w:bCs/>
                <w:sz w:val="21"/>
                <w:szCs w:val="21"/>
                <w:vertAlign w:val="baseline"/>
                <w:lang w:eastAsia="zh-CN"/>
              </w:rPr>
              <w:t>描述</w:t>
            </w:r>
          </w:p>
        </w:tc>
      </w:tr>
      <w:tr>
        <w:trPr>
          <w:jc w:val="center"/>
        </w:trPr>
        <w:tc>
          <w:tcPr>
            <w:tcW w:w="807" w:type="dxa"/>
            <w:shd w:val="clear" w:color="auto" w:fill="auto"/>
            <w:vAlign w:val="center"/>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1</w:t>
            </w:r>
          </w:p>
        </w:tc>
        <w:tc>
          <w:tcPr>
            <w:tcW w:w="7128" w:type="dxa"/>
            <w:shd w:val="clear" w:color="auto" w:fill="auto"/>
            <w:vAlign w:val="center"/>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sz w:val="21"/>
                <w:szCs w:val="21"/>
                <w:vertAlign w:val="baseline"/>
              </w:rPr>
            </w:pPr>
            <w:r>
              <w:drawing>
                <wp:inline distT="0" distB="0" distL="114300" distR="114300">
                  <wp:extent cx="3596005" cy="2684780"/>
                  <wp:effectExtent l="0" t="0" r="635" b="12700"/>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pic:cNvPicPr>
                        </pic:nvPicPr>
                        <pic:blipFill>
                          <a:blip r:embed="rId15"/>
                          <a:stretch>
                            <a:fillRect/>
                          </a:stretch>
                        </pic:blipFill>
                        <pic:spPr>
                          <a:xfrm>
                            <a:off x="0" y="0"/>
                            <a:ext cx="3596005" cy="2684780"/>
                          </a:xfrm>
                          <a:prstGeom prst="rect">
                            <a:avLst/>
                          </a:prstGeom>
                          <a:noFill/>
                          <a:ln>
                            <a:noFill/>
                          </a:ln>
                        </pic:spPr>
                      </pic:pic>
                    </a:graphicData>
                  </a:graphic>
                </wp:inline>
              </w:drawing>
            </w:r>
          </w:p>
        </w:tc>
        <w:tc>
          <w:tcPr>
            <w:tcW w:w="1807" w:type="dxa"/>
            <w:shd w:val="clear" w:color="auto" w:fill="auto"/>
            <w:vAlign w:val="center"/>
          </w:tcPr>
          <w:p>
            <w:pPr>
              <w:pStyle w:val="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both"/>
              <w:textAlignment w:val="auto"/>
              <w:rPr>
                <w:rFonts w:hint="eastAsia"/>
                <w:sz w:val="21"/>
                <w:szCs w:val="21"/>
                <w:vertAlign w:val="baseline"/>
              </w:rPr>
            </w:pPr>
          </w:p>
        </w:tc>
      </w:tr>
    </w:tbl>
    <w:p>
      <w:pPr>
        <w:pStyle w:val="4"/>
        <w:keepNext/>
        <w:keepLines w:val="0"/>
        <w:pageBreakBefore w:val="0"/>
        <w:widowControl w:val="0"/>
        <w:shd w:val="clear"/>
        <w:kinsoku/>
        <w:wordWrap/>
        <w:overflowPunct/>
        <w:topLinePunct w:val="0"/>
        <w:autoSpaceDE/>
        <w:autoSpaceDN/>
        <w:bidi w:val="0"/>
        <w:adjustRightInd w:val="0"/>
        <w:snapToGrid w:val="0"/>
        <w:spacing w:before="313" w:beforeLines="100"/>
        <w:textAlignment w:val="auto"/>
        <w:rPr>
          <w:rFonts w:hint="default"/>
          <w:lang w:val="en-US" w:eastAsia="zh-CN"/>
        </w:rPr>
      </w:pPr>
      <w:bookmarkStart w:id="15" w:name="_Toc22687"/>
      <w:r>
        <w:rPr>
          <w:rFonts w:hint="eastAsia"/>
          <w:lang w:val="en-US" w:eastAsia="zh-CN"/>
        </w:rPr>
        <w:t>第四节  风险辨识与分级</w:t>
      </w:r>
      <w:bookmarkEnd w:id="15"/>
    </w:p>
    <w:p>
      <w:pPr>
        <w:shd w:val="clear"/>
        <w:bidi w:val="0"/>
        <w:jc w:val="center"/>
        <w:rPr>
          <w:rFonts w:hint="eastAsia"/>
        </w:rPr>
      </w:pPr>
      <w:r>
        <w:rPr>
          <w:rFonts w:hint="eastAsia"/>
        </w:rPr>
        <w:t>高风险活动分析表</w:t>
      </w:r>
    </w:p>
    <w:tbl>
      <w:tblPr>
        <w:tblStyle w:val="54"/>
        <w:tblW w:w="97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867"/>
        <w:gridCol w:w="2162"/>
        <w:gridCol w:w="5394"/>
        <w:gridCol w:w="1347"/>
      </w:tblGrid>
      <w:tr>
        <w:trPr>
          <w:trHeight w:val="522" w:hRule="atLeast"/>
          <w:tblHeader/>
          <w:jc w:val="center"/>
        </w:trPr>
        <w:tc>
          <w:tcPr>
            <w:tcW w:w="867"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hAnsi="宋体"/>
                <w:b/>
                <w:bCs/>
                <w:sz w:val="21"/>
                <w:szCs w:val="21"/>
                <w:lang w:val="en-US" w:eastAsia="zh-CN"/>
              </w:rPr>
            </w:pPr>
            <w:r>
              <w:rPr>
                <w:rFonts w:hint="eastAsia" w:hAnsi="宋体"/>
                <w:b/>
                <w:bCs/>
                <w:sz w:val="21"/>
                <w:szCs w:val="21"/>
                <w:lang w:val="en-US" w:eastAsia="zh-CN"/>
              </w:rPr>
              <w:t>序号</w:t>
            </w:r>
          </w:p>
        </w:tc>
        <w:tc>
          <w:tcPr>
            <w:tcW w:w="7556" w:type="dxa"/>
            <w:gridSpan w:val="2"/>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hAnsi="宋体"/>
                <w:b/>
                <w:bCs/>
                <w:sz w:val="21"/>
                <w:szCs w:val="21"/>
                <w:lang w:val="en-US" w:eastAsia="zh-CN"/>
              </w:rPr>
            </w:pPr>
            <w:r>
              <w:rPr>
                <w:rFonts w:hint="eastAsia" w:hAnsi="宋体"/>
                <w:b/>
                <w:bCs/>
                <w:sz w:val="21"/>
                <w:szCs w:val="21"/>
                <w:lang w:val="en-US" w:eastAsia="zh-CN"/>
              </w:rPr>
              <w:t>危害种类</w:t>
            </w:r>
          </w:p>
        </w:tc>
        <w:tc>
          <w:tcPr>
            <w:tcW w:w="1347"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hAnsi="宋体"/>
                <w:b/>
                <w:bCs/>
                <w:sz w:val="21"/>
                <w:szCs w:val="21"/>
                <w:lang w:val="en-US" w:eastAsia="zh-CN"/>
              </w:rPr>
            </w:pPr>
            <w:r>
              <w:rPr>
                <w:rFonts w:hint="eastAsia" w:hAnsi="宋体"/>
                <w:b/>
                <w:bCs/>
                <w:sz w:val="21"/>
                <w:szCs w:val="21"/>
                <w:lang w:val="en-US" w:eastAsia="zh-CN"/>
              </w:rPr>
              <w:t>备注</w:t>
            </w:r>
          </w:p>
        </w:tc>
      </w:tr>
      <w:tr>
        <w:trPr>
          <w:trHeight w:val="404" w:hRule="atLeast"/>
          <w:jc w:val="center"/>
        </w:trPr>
        <w:tc>
          <w:tcPr>
            <w:tcW w:w="867"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1</w:t>
            </w:r>
          </w:p>
        </w:tc>
        <w:tc>
          <w:tcPr>
            <w:tcW w:w="2162"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高空坠落</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eastAsia="宋体" w:cs="宋体"/>
                <w:sz w:val="21"/>
                <w:szCs w:val="21"/>
                <w:lang w:val="en-US" w:eastAsia="zh-CN"/>
              </w:rPr>
            </w:pPr>
            <w:r>
              <w:rPr>
                <w:rFonts w:hint="eastAsia" w:cs="宋体"/>
                <w:sz w:val="21"/>
                <w:szCs w:val="21"/>
              </w:rPr>
              <w:t>从脚手架/工作平台上</w:t>
            </w:r>
            <w:r>
              <w:rPr>
                <w:rFonts w:hint="eastAsia" w:cs="宋体"/>
                <w:sz w:val="21"/>
                <w:szCs w:val="21"/>
                <w:lang w:val="en-US" w:eastAsia="zh-CN"/>
              </w:rPr>
              <w:t>/各类临边洞口</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79" w:hRule="atLeast"/>
          <w:jc w:val="center"/>
        </w:trPr>
        <w:tc>
          <w:tcPr>
            <w:tcW w:w="867"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2162"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从结构上、坡道入口处</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94" w:hRule="atLeast"/>
          <w:jc w:val="center"/>
        </w:trPr>
        <w:tc>
          <w:tcPr>
            <w:tcW w:w="867"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2162"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不安全的行为/不安全的工作</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524" w:hRule="atLeast"/>
          <w:jc w:val="center"/>
        </w:trPr>
        <w:tc>
          <w:tcPr>
            <w:tcW w:w="867"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2</w:t>
            </w:r>
          </w:p>
        </w:tc>
        <w:tc>
          <w:tcPr>
            <w:tcW w:w="2162"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物体打击</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高空临边防护，防止物件掉落</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64" w:hRule="atLeast"/>
          <w:jc w:val="center"/>
        </w:trPr>
        <w:tc>
          <w:tcPr>
            <w:tcW w:w="867"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3</w:t>
            </w:r>
          </w:p>
        </w:tc>
        <w:tc>
          <w:tcPr>
            <w:tcW w:w="2162"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电击风险</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不安全的电气设备附件，如：导线、插头</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539" w:hRule="atLeast"/>
          <w:jc w:val="center"/>
        </w:trPr>
        <w:tc>
          <w:tcPr>
            <w:tcW w:w="867"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2162"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错误的电气设备，如：无接地线、保护</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94" w:hRule="atLeast"/>
          <w:jc w:val="center"/>
        </w:trPr>
        <w:tc>
          <w:tcPr>
            <w:tcW w:w="867"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4</w:t>
            </w:r>
          </w:p>
        </w:tc>
        <w:tc>
          <w:tcPr>
            <w:tcW w:w="2162"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起重作业、吊车、重型设备</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eastAsia="宋体" w:cs="宋体"/>
                <w:sz w:val="21"/>
                <w:szCs w:val="21"/>
                <w:lang w:eastAsia="zh-CN"/>
              </w:rPr>
            </w:pPr>
            <w:r>
              <w:rPr>
                <w:rFonts w:hint="eastAsia" w:cs="宋体"/>
                <w:sz w:val="21"/>
                <w:szCs w:val="21"/>
              </w:rPr>
              <w:t>塔吊</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524" w:hRule="atLeast"/>
          <w:jc w:val="center"/>
        </w:trPr>
        <w:tc>
          <w:tcPr>
            <w:tcW w:w="867"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textAlignment w:val="auto"/>
              <w:rPr>
                <w:rFonts w:hint="eastAsia" w:hAnsi="宋体"/>
                <w:sz w:val="21"/>
                <w:szCs w:val="21"/>
                <w:lang w:val="en-US" w:eastAsia="zh-CN"/>
              </w:rPr>
            </w:pPr>
          </w:p>
        </w:tc>
        <w:tc>
          <w:tcPr>
            <w:tcW w:w="2162"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eastAsia="宋体" w:cs="宋体"/>
                <w:sz w:val="21"/>
                <w:szCs w:val="21"/>
                <w:lang w:eastAsia="zh-CN"/>
              </w:rPr>
            </w:pPr>
            <w:r>
              <w:rPr>
                <w:rFonts w:hint="eastAsia" w:cs="宋体"/>
                <w:sz w:val="21"/>
                <w:szCs w:val="21"/>
              </w:rPr>
              <w:t>汽车吊</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19" w:hRule="atLeast"/>
          <w:jc w:val="center"/>
        </w:trPr>
        <w:tc>
          <w:tcPr>
            <w:tcW w:w="867"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textAlignment w:val="auto"/>
              <w:rPr>
                <w:rFonts w:hint="eastAsia" w:hAnsi="宋体"/>
                <w:sz w:val="21"/>
                <w:szCs w:val="21"/>
                <w:lang w:val="en-US" w:eastAsia="zh-CN"/>
              </w:rPr>
            </w:pPr>
            <w:r>
              <w:rPr>
                <w:rFonts w:hint="eastAsia" w:hAnsi="宋体"/>
                <w:sz w:val="21"/>
                <w:szCs w:val="21"/>
                <w:lang w:val="en-US" w:eastAsia="zh-CN"/>
              </w:rPr>
              <w:t>5</w:t>
            </w:r>
          </w:p>
        </w:tc>
        <w:tc>
          <w:tcPr>
            <w:tcW w:w="2162" w:type="dxa"/>
            <w:vMerge w:val="restart"/>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坍塌</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基坑</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19" w:hRule="atLeast"/>
          <w:jc w:val="center"/>
        </w:trPr>
        <w:tc>
          <w:tcPr>
            <w:tcW w:w="867"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textAlignment w:val="auto"/>
              <w:rPr>
                <w:rFonts w:hint="eastAsia" w:hAnsi="宋体"/>
                <w:sz w:val="21"/>
                <w:szCs w:val="21"/>
                <w:lang w:val="en-US" w:eastAsia="zh-CN"/>
              </w:rPr>
            </w:pPr>
          </w:p>
        </w:tc>
        <w:tc>
          <w:tcPr>
            <w:tcW w:w="2162" w:type="dxa"/>
            <w:vMerge w:val="continue"/>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模板支撑系统</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509" w:hRule="atLeast"/>
          <w:jc w:val="center"/>
        </w:trPr>
        <w:tc>
          <w:tcPr>
            <w:tcW w:w="867"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textAlignment w:val="auto"/>
              <w:rPr>
                <w:rFonts w:hint="eastAsia" w:hAnsi="宋体"/>
                <w:sz w:val="21"/>
                <w:szCs w:val="21"/>
                <w:lang w:val="en-US" w:eastAsia="zh-CN"/>
              </w:rPr>
            </w:pPr>
            <w:r>
              <w:rPr>
                <w:rFonts w:hint="eastAsia" w:hAnsi="宋体"/>
                <w:sz w:val="21"/>
                <w:szCs w:val="21"/>
                <w:lang w:val="en-US" w:eastAsia="zh-CN"/>
              </w:rPr>
              <w:t>6</w:t>
            </w:r>
          </w:p>
        </w:tc>
        <w:tc>
          <w:tcPr>
            <w:tcW w:w="2162"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消防管理</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rPr>
              <w:t>消防</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r>
        <w:trPr>
          <w:trHeight w:val="494" w:hRule="atLeast"/>
          <w:jc w:val="center"/>
        </w:trPr>
        <w:tc>
          <w:tcPr>
            <w:tcW w:w="867"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textAlignment w:val="auto"/>
              <w:rPr>
                <w:rFonts w:hint="eastAsia" w:hAnsi="宋体"/>
                <w:sz w:val="21"/>
                <w:szCs w:val="21"/>
                <w:lang w:val="en-US" w:eastAsia="zh-CN"/>
              </w:rPr>
            </w:pPr>
            <w:r>
              <w:rPr>
                <w:rFonts w:hint="eastAsia" w:hAnsi="宋体"/>
                <w:sz w:val="21"/>
                <w:szCs w:val="21"/>
                <w:lang w:val="en-US" w:eastAsia="zh-CN"/>
              </w:rPr>
              <w:t>7</w:t>
            </w:r>
          </w:p>
        </w:tc>
        <w:tc>
          <w:tcPr>
            <w:tcW w:w="2162" w:type="dxa"/>
            <w:shd w:val="clear" w:color="auto" w:fill="auto"/>
            <w:noWrap w:val="0"/>
            <w:vAlign w:val="center"/>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center"/>
              <w:textAlignment w:val="auto"/>
              <w:rPr>
                <w:rFonts w:hint="eastAsia" w:hAnsi="宋体"/>
                <w:sz w:val="21"/>
                <w:szCs w:val="21"/>
                <w:lang w:val="en-US" w:eastAsia="zh-CN"/>
              </w:rPr>
            </w:pPr>
            <w:r>
              <w:rPr>
                <w:rFonts w:hint="eastAsia" w:hAnsi="宋体"/>
                <w:sz w:val="21"/>
                <w:szCs w:val="21"/>
                <w:lang w:val="en-US" w:eastAsia="zh-CN"/>
              </w:rPr>
              <w:t>其它</w:t>
            </w:r>
          </w:p>
        </w:tc>
        <w:tc>
          <w:tcPr>
            <w:tcW w:w="5394" w:type="dxa"/>
            <w:shd w:val="clear" w:color="auto" w:fill="auto"/>
            <w:noWrap w:val="0"/>
            <w:vAlign w:val="center"/>
          </w:tcPr>
          <w:p>
            <w:pPr>
              <w:pStyle w:val="274"/>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cs="宋体"/>
                <w:sz w:val="21"/>
                <w:szCs w:val="21"/>
              </w:rPr>
            </w:pPr>
            <w:r>
              <w:rPr>
                <w:rFonts w:hint="eastAsia" w:cs="宋体"/>
                <w:sz w:val="21"/>
                <w:szCs w:val="21"/>
                <w:lang w:eastAsia="zh-CN"/>
              </w:rPr>
              <w:t>台风、</w:t>
            </w:r>
            <w:r>
              <w:rPr>
                <w:rFonts w:hint="eastAsia" w:cs="宋体"/>
                <w:sz w:val="21"/>
                <w:szCs w:val="21"/>
              </w:rPr>
              <w:t>大风、暴雨等</w:t>
            </w:r>
          </w:p>
        </w:tc>
        <w:tc>
          <w:tcPr>
            <w:tcW w:w="1347" w:type="dxa"/>
            <w:shd w:val="clear" w:color="auto" w:fill="auto"/>
            <w:noWrap w:val="0"/>
            <w:vAlign w:val="top"/>
          </w:tcPr>
          <w:p>
            <w:pPr>
              <w:pStyle w:val="273"/>
              <w:keepNext w:val="0"/>
              <w:keepLines w:val="0"/>
              <w:pageBreakBefore w:val="0"/>
              <w:widowControl w:val="0"/>
              <w:suppressLineNumbers w:val="0"/>
              <w:shd w:val="clear"/>
              <w:kinsoku/>
              <w:wordWrap/>
              <w:overflowPunct/>
              <w:topLinePunct w:val="0"/>
              <w:autoSpaceDE/>
              <w:autoSpaceDN/>
              <w:bidi w:val="0"/>
              <w:snapToGrid w:val="0"/>
              <w:spacing w:before="0" w:beforeAutospacing="0" w:after="0" w:afterAutospacing="0" w:line="300" w:lineRule="auto"/>
              <w:ind w:left="0" w:right="0"/>
              <w:jc w:val="both"/>
              <w:textAlignment w:val="auto"/>
              <w:rPr>
                <w:rFonts w:hint="eastAsia" w:hAnsi="宋体"/>
                <w:sz w:val="21"/>
                <w:szCs w:val="21"/>
                <w:lang w:val="en-US" w:eastAsia="zh-CN"/>
              </w:rPr>
            </w:pPr>
          </w:p>
        </w:tc>
      </w:tr>
    </w:tbl>
    <w:p>
      <w:pPr>
        <w:keepNext/>
        <w:keepLines w:val="0"/>
        <w:pageBreakBefore w:val="0"/>
        <w:widowControl w:val="0"/>
        <w:numPr>
          <w:ilvl w:val="0"/>
          <w:numId w:val="0"/>
        </w:numPr>
        <w:shd w:val="clear"/>
        <w:tabs>
          <w:tab w:val="left" w:pos="2099"/>
          <w:tab w:val="center" w:pos="5200"/>
        </w:tabs>
        <w:kinsoku/>
        <w:wordWrap/>
        <w:overflowPunct/>
        <w:topLinePunct w:val="0"/>
        <w:autoSpaceDE/>
        <w:autoSpaceDN/>
        <w:bidi w:val="0"/>
        <w:adjustRightInd w:val="0"/>
        <w:snapToGrid w:val="0"/>
        <w:spacing w:before="120" w:after="120"/>
        <w:jc w:val="center"/>
        <w:textAlignment w:val="auto"/>
        <w:outlineLvl w:val="9"/>
        <w:rPr>
          <w:rFonts w:hint="default"/>
          <w:color w:val="auto"/>
          <w:lang w:val="en-US" w:eastAsia="zh-CN"/>
        </w:rPr>
      </w:pPr>
      <w:r>
        <w:rPr>
          <w:rFonts w:hint="eastAsia"/>
          <w:color w:val="auto"/>
          <w:lang w:val="en-US" w:eastAsia="zh-CN"/>
        </w:rPr>
        <w:t>安全管理风险分级管控表</w:t>
      </w:r>
    </w:p>
    <w:tbl>
      <w:tblPr>
        <w:tblStyle w:val="294"/>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8"/>
        <w:gridCol w:w="768"/>
        <w:gridCol w:w="1174"/>
        <w:gridCol w:w="1096"/>
        <w:gridCol w:w="1229"/>
        <w:gridCol w:w="965"/>
        <w:gridCol w:w="4146"/>
      </w:tblGrid>
      <w:tr>
        <w:trPr>
          <w:trHeight w:val="629" w:hRule="atLeast"/>
          <w:tblHeader/>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序   号</w:t>
            </w:r>
          </w:p>
        </w:tc>
        <w:tc>
          <w:tcPr>
            <w:tcW w:w="3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风险点名称</w:t>
            </w:r>
          </w:p>
        </w:tc>
        <w:tc>
          <w:tcPr>
            <w:tcW w:w="59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作业内容</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危险源或潜在事件</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b/>
                <w:bCs/>
                <w:sz w:val="21"/>
                <w:szCs w:val="21"/>
              </w:rPr>
            </w:pPr>
            <w:r>
              <w:rPr>
                <w:rFonts w:hint="eastAsia"/>
                <w:b/>
                <w:bCs/>
                <w:sz w:val="21"/>
                <w:szCs w:val="21"/>
              </w:rPr>
              <w:t>可能导致</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的事故类型</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b/>
                <w:bCs/>
                <w:sz w:val="21"/>
                <w:szCs w:val="21"/>
              </w:rPr>
            </w:pPr>
            <w:r>
              <w:rPr>
                <w:rFonts w:hint="eastAsia"/>
                <w:b/>
                <w:bCs/>
                <w:sz w:val="21"/>
                <w:szCs w:val="21"/>
              </w:rPr>
              <w:t xml:space="preserve">风 险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级 别</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ascii="Times New Roman" w:hAnsi="Times New Roman" w:eastAsia="宋体" w:cs="Times New Roman"/>
                <w:b/>
                <w:bCs/>
                <w:kern w:val="2"/>
                <w:sz w:val="21"/>
                <w:szCs w:val="21"/>
                <w:lang w:val="en-US" w:eastAsia="zh-CN" w:bidi="ar-SA"/>
              </w:rPr>
            </w:pPr>
            <w:r>
              <w:rPr>
                <w:rFonts w:hint="eastAsia"/>
                <w:b/>
                <w:bCs/>
                <w:sz w:val="21"/>
                <w:szCs w:val="21"/>
              </w:rPr>
              <w:t>主要管控措施</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1</w:t>
            </w:r>
          </w:p>
        </w:tc>
        <w:tc>
          <w:tcPr>
            <w:tcW w:w="392" w:type="pct"/>
            <w:vMerge w:val="restar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管理</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制度</w:t>
            </w:r>
          </w:p>
        </w:tc>
        <w:tc>
          <w:tcPr>
            <w:tcW w:w="59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安全教育培训</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对施工组织 设计中安全 措施的管理 不符合要求</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各类事故</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三</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1.根据工程项目特点，编制施工组织设计和专项施工方案，制定安全技术措施；               2.超过一定规模危险性较大的分部分项工程，应按相关规定组织专家对专项施工方案进行论证；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3.公司和项目部应建立安全生产教育培训制度，对员工进行教育培训。</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4.施工组织设计和专项施工方案由专业技术人员编制，经公司技术负责人</w:t>
            </w:r>
            <w:r>
              <w:rPr>
                <w:rFonts w:hint="eastAsia" w:eastAsia="宋体"/>
                <w:sz w:val="21"/>
                <w:szCs w:val="21"/>
                <w:lang w:eastAsia="zh-CN"/>
              </w:rPr>
              <w:t>。</w:t>
            </w:r>
            <w:r>
              <w:rPr>
                <w:rFonts w:hint="eastAsia"/>
                <w:sz w:val="21"/>
                <w:szCs w:val="21"/>
              </w:rPr>
              <w:t xml:space="preserve">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5.审批签字后报建设 单位项目负责人审查签字后方可组织实施。施工过程中变更方案的，按原流程进行审批。</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2</w:t>
            </w:r>
          </w:p>
        </w:tc>
        <w:tc>
          <w:tcPr>
            <w:tcW w:w="392"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9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安全生产</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责任制</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未按法规要 求建立健全 安全生产责 任制</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各类事故</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三</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1.严格按法规要求建立健全安全生产管理体系，明确各类岗位人员的安全生产责任；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2.公司和公司内部职能部门.公司和项目部.总包 和分包单位.项目部和班组之间应签订安全生产目标责任书，明确安全生产指标、安全保证措施、 双方责任及奖惩办法；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3.公司.项目部.班组应根据安全生产目标责任书，实行安全生产目标管理，建立安全生产责任考核制度；</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eastAsia="宋体"/>
                <w:sz w:val="21"/>
                <w:szCs w:val="21"/>
                <w:lang w:eastAsia="zh-CN"/>
              </w:rPr>
            </w:pPr>
            <w:r>
              <w:rPr>
                <w:rFonts w:hint="eastAsia"/>
                <w:sz w:val="21"/>
                <w:szCs w:val="21"/>
              </w:rPr>
              <w:t>4.项目专职安全生产管理人员应实行企业委派制度</w:t>
            </w:r>
            <w:r>
              <w:rPr>
                <w:rFonts w:hint="eastAsia" w:eastAsia="宋体"/>
                <w:sz w:val="21"/>
                <w:szCs w:val="21"/>
                <w:lang w:eastAsia="zh-CN"/>
              </w:rPr>
              <w:t>；</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5.施工现场应配置建筑施工安全生产安全技术标准和操作规程等资料。各工种安全技术操作规程应齐全；</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6.公司对列入建筑施工预算的文明施工与环境保护、临时设施及安全施工等措施的费用，应当用于施工安全防护用具及设施的采购和更新、安全施工措施的落实、安全生产条件的改善及文明 施工，建立费用使用台账。</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7.将公司安全生产管理目标和各岗位安全生产责任制度装订成册，其中项目部管理人员及作业人员的安全生产责任制、安全教育培训制度、防火消防安全制度、施工现场急救措施、安全生产 文明施工措施费使用管理制度等上墙；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8.定期进行考核，公司对项目部考核每半年不少于一次，项目部对班组考核每月不少于一次，并有书面记录；</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9.针对主要工种的施工操作岗位，张挂相应的安全技术操作规程。</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3</w:t>
            </w:r>
          </w:p>
        </w:tc>
        <w:tc>
          <w:tcPr>
            <w:tcW w:w="392"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9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安全技术</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交底</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未对分部工程实施安全技术交底</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各类事故</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三</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1.项目部技术人员在分部分项工程及各工种施工作业前向班组作业人员进行安全技术交底，形 成书面资料，双方履行签字手续；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2.安排专人参加并检查实施情况。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3.建立健全安全技术交底制度。</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4</w:t>
            </w:r>
          </w:p>
        </w:tc>
        <w:tc>
          <w:tcPr>
            <w:tcW w:w="392"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9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安全检查制度</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安全检查制度的建立与实施不符合要求</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各类事故</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三</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1.公司和项目部应建立安全检查制度，明确检查方式</w:t>
            </w:r>
            <w:r>
              <w:rPr>
                <w:rFonts w:hint="eastAsia" w:eastAsia="宋体"/>
                <w:sz w:val="21"/>
                <w:szCs w:val="21"/>
                <w:lang w:eastAsia="zh-CN"/>
              </w:rPr>
              <w:t>、</w:t>
            </w:r>
            <w:r>
              <w:rPr>
                <w:rFonts w:hint="eastAsia"/>
                <w:sz w:val="21"/>
                <w:szCs w:val="21"/>
              </w:rPr>
              <w:t>时间</w:t>
            </w:r>
            <w:r>
              <w:rPr>
                <w:rFonts w:hint="eastAsia" w:eastAsia="宋体"/>
                <w:sz w:val="21"/>
                <w:szCs w:val="21"/>
                <w:lang w:eastAsia="zh-CN"/>
              </w:rPr>
              <w:t>、</w:t>
            </w:r>
            <w:r>
              <w:rPr>
                <w:rFonts w:hint="eastAsia"/>
                <w:sz w:val="21"/>
                <w:szCs w:val="21"/>
              </w:rPr>
              <w:t>内容</w:t>
            </w:r>
            <w:r>
              <w:rPr>
                <w:rFonts w:hint="eastAsia" w:eastAsia="宋体"/>
                <w:sz w:val="21"/>
                <w:szCs w:val="21"/>
                <w:lang w:eastAsia="zh-CN"/>
              </w:rPr>
              <w:t>、</w:t>
            </w:r>
            <w:r>
              <w:rPr>
                <w:rFonts w:hint="eastAsia"/>
                <w:sz w:val="21"/>
                <w:szCs w:val="21"/>
              </w:rPr>
              <w:t>整改</w:t>
            </w:r>
            <w:r>
              <w:rPr>
                <w:rFonts w:hint="eastAsia" w:eastAsia="宋体"/>
                <w:sz w:val="21"/>
                <w:szCs w:val="21"/>
                <w:lang w:eastAsia="zh-CN"/>
              </w:rPr>
              <w:t>、</w:t>
            </w:r>
            <w:r>
              <w:rPr>
                <w:rFonts w:hint="eastAsia"/>
                <w:sz w:val="21"/>
                <w:szCs w:val="21"/>
              </w:rPr>
              <w:t xml:space="preserve">处置措施和复查等内容；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2.安全检查过程中，发现存在安全隐患的，应签发整改通知，定人</w:t>
            </w:r>
            <w:r>
              <w:rPr>
                <w:rFonts w:hint="eastAsia" w:eastAsia="宋体"/>
                <w:sz w:val="21"/>
                <w:szCs w:val="21"/>
                <w:lang w:eastAsia="zh-CN"/>
              </w:rPr>
              <w:t>、</w:t>
            </w:r>
            <w:r>
              <w:rPr>
                <w:rFonts w:hint="eastAsia"/>
                <w:sz w:val="21"/>
                <w:szCs w:val="21"/>
              </w:rPr>
              <w:t>定时</w:t>
            </w:r>
            <w:r>
              <w:rPr>
                <w:rFonts w:hint="eastAsia" w:eastAsia="宋体"/>
                <w:sz w:val="21"/>
                <w:szCs w:val="21"/>
                <w:lang w:eastAsia="zh-CN"/>
              </w:rPr>
              <w:t>、</w:t>
            </w:r>
            <w:r>
              <w:rPr>
                <w:rFonts w:hint="eastAsia"/>
                <w:sz w:val="21"/>
                <w:szCs w:val="21"/>
              </w:rPr>
              <w:t>定措施进行整改。</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 xml:space="preserve">检查次数公司每月不少于一次，项目部每周不少于一次，专职安全生产管理人员每天进行巡查； </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3.安排专人现场检查，发现存在隐患的，签发整改通知单并附上复查记录。发现重大安全隐患的立即停止施工，进行整改；</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4.贯彻学习制度，认真执行。</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eastAsia="宋体"/>
                <w:sz w:val="21"/>
                <w:szCs w:val="21"/>
                <w:lang w:eastAsia="zh-CN"/>
              </w:rPr>
            </w:pPr>
            <w:r>
              <w:rPr>
                <w:rFonts w:hint="eastAsia" w:eastAsia="宋体"/>
                <w:sz w:val="21"/>
                <w:szCs w:val="21"/>
                <w:lang w:val="en-US" w:eastAsia="zh-CN"/>
              </w:rPr>
              <w:t>5</w:t>
            </w:r>
          </w:p>
        </w:tc>
        <w:tc>
          <w:tcPr>
            <w:tcW w:w="392"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99" w:type="pct"/>
            <w:vMerge w:val="restar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安全带</w:t>
            </w: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安全网规格、 材质不符合要求</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高处坠落</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二</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1. 由材料员检查安全网的合格证</w:t>
            </w:r>
            <w:r>
              <w:rPr>
                <w:rFonts w:hint="eastAsia"/>
                <w:sz w:val="21"/>
                <w:szCs w:val="21"/>
                <w:lang w:eastAsia="zh-CN"/>
              </w:rPr>
              <w:t>，</w:t>
            </w:r>
            <w:r>
              <w:rPr>
                <w:rFonts w:hint="eastAsia"/>
                <w:sz w:val="21"/>
                <w:szCs w:val="21"/>
              </w:rPr>
              <w:t>材质、规格物理性能、耐火性、阻燃性满足现行国家标准《安全网》 GB5725 的规定。2. 由安全员督促，进场后需进行取样复试，合格后方可使用。</w:t>
            </w:r>
          </w:p>
        </w:tc>
      </w:tr>
      <w:tr>
        <w:trPr>
          <w:trHeight w:val="0" w:hRule="atLeast"/>
          <w:jc w:val="center"/>
        </w:trPr>
        <w:tc>
          <w:tcPr>
            <w:tcW w:w="213"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eastAsia="宋体"/>
                <w:sz w:val="21"/>
                <w:szCs w:val="21"/>
                <w:lang w:eastAsia="zh-CN"/>
              </w:rPr>
            </w:pPr>
            <w:r>
              <w:rPr>
                <w:rFonts w:hint="eastAsia" w:eastAsia="宋体"/>
                <w:sz w:val="21"/>
                <w:szCs w:val="21"/>
                <w:lang w:val="en-US" w:eastAsia="zh-CN"/>
              </w:rPr>
              <w:t>6</w:t>
            </w:r>
          </w:p>
        </w:tc>
        <w:tc>
          <w:tcPr>
            <w:tcW w:w="392"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99" w:type="pct"/>
            <w:vMerge w:val="continue"/>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p>
        </w:tc>
        <w:tc>
          <w:tcPr>
            <w:tcW w:w="559"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安全带质量 不符合国家 标准</w:t>
            </w:r>
          </w:p>
        </w:tc>
        <w:tc>
          <w:tcPr>
            <w:tcW w:w="627"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高处坠落</w:t>
            </w:r>
          </w:p>
        </w:tc>
        <w:tc>
          <w:tcPr>
            <w:tcW w:w="492"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二</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center"/>
              <w:textAlignment w:val="baseline"/>
              <w:rPr>
                <w:rFonts w:hint="eastAsia"/>
                <w:sz w:val="21"/>
                <w:szCs w:val="21"/>
              </w:rPr>
            </w:pPr>
            <w:r>
              <w:rPr>
                <w:rFonts w:hint="eastAsia"/>
                <w:sz w:val="21"/>
                <w:szCs w:val="21"/>
              </w:rPr>
              <w:t>级</w:t>
            </w:r>
          </w:p>
        </w:tc>
        <w:tc>
          <w:tcPr>
            <w:tcW w:w="2115" w:type="pct"/>
            <w:vAlign w:val="center"/>
          </w:tcPr>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1.安全带和安全绳材料必须采用锦纶、维纶、蚕丝料等。</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2.安全带及其金属配件、带、绳必须按 照《安全带检验方法》 GB6096 国家标准进行测试，并符合安全带、绳和金属配件的破断负荷指标。</w:t>
            </w:r>
          </w:p>
          <w:p>
            <w:pPr>
              <w:keepNext w:val="0"/>
              <w:keepLines w:val="0"/>
              <w:pageBreakBefore w:val="0"/>
              <w:widowControl/>
              <w:shd w:val="clear"/>
              <w:kinsoku w:val="0"/>
              <w:wordWrap/>
              <w:overflowPunct/>
              <w:topLinePunct w:val="0"/>
              <w:autoSpaceDE w:val="0"/>
              <w:autoSpaceDN w:val="0"/>
              <w:bidi w:val="0"/>
              <w:adjustRightInd w:val="0"/>
              <w:snapToGrid w:val="0"/>
              <w:spacing w:line="300" w:lineRule="auto"/>
              <w:jc w:val="both"/>
              <w:textAlignment w:val="baseline"/>
              <w:rPr>
                <w:rFonts w:hint="eastAsia"/>
                <w:sz w:val="21"/>
                <w:szCs w:val="21"/>
              </w:rPr>
            </w:pPr>
            <w:r>
              <w:rPr>
                <w:rFonts w:hint="eastAsia"/>
                <w:sz w:val="21"/>
                <w:szCs w:val="21"/>
              </w:rPr>
              <w:t>3.立即更换。</w:t>
            </w:r>
          </w:p>
        </w:tc>
      </w:tr>
    </w:tbl>
    <w:p>
      <w:pPr>
        <w:rPr>
          <w:rFonts w:hint="eastAsia"/>
          <w:color w:val="auto"/>
          <w:lang w:val="en-US" w:eastAsia="zh-CN"/>
        </w:rPr>
      </w:pPr>
      <w:r>
        <w:rPr>
          <w:rFonts w:hint="eastAsia"/>
          <w:color w:val="auto"/>
          <w:lang w:val="en-US" w:eastAsia="zh-CN"/>
        </w:rPr>
        <w:br w:type="page"/>
      </w:r>
    </w:p>
    <w:p>
      <w:pPr>
        <w:pStyle w:val="4"/>
        <w:numPr>
          <w:ilvl w:val="0"/>
          <w:numId w:val="0"/>
        </w:numPr>
        <w:shd w:val="clear"/>
        <w:tabs>
          <w:tab w:val="left" w:pos="2099"/>
          <w:tab w:val="center" w:pos="5200"/>
        </w:tabs>
        <w:spacing w:before="156" w:after="156"/>
        <w:jc w:val="center"/>
        <w:rPr>
          <w:color w:val="auto"/>
        </w:rPr>
      </w:pPr>
      <w:bookmarkStart w:id="16" w:name="_Toc18840"/>
      <w:r>
        <w:rPr>
          <w:rFonts w:hint="eastAsia"/>
          <w:color w:val="auto"/>
          <w:lang w:val="en-US" w:eastAsia="zh-CN"/>
        </w:rPr>
        <w:t xml:space="preserve">第五节  </w:t>
      </w:r>
      <w:r>
        <w:rPr>
          <w:rFonts w:hint="eastAsia"/>
          <w:color w:val="auto"/>
        </w:rPr>
        <w:t>施工难点</w:t>
      </w:r>
      <w:r>
        <w:rPr>
          <w:rFonts w:hint="eastAsia"/>
          <w:color w:val="auto"/>
          <w:lang w:val="en-US" w:eastAsia="zh-CN"/>
        </w:rPr>
        <w:t>及拟定</w:t>
      </w:r>
      <w:r>
        <w:rPr>
          <w:rFonts w:hint="eastAsia"/>
          <w:color w:val="auto"/>
        </w:rPr>
        <w:t>对策</w:t>
      </w:r>
      <w:bookmarkEnd w:id="16"/>
    </w:p>
    <w:p>
      <w:pPr>
        <w:shd w:val="clear"/>
        <w:adjustRightInd w:val="0"/>
        <w:spacing w:line="360" w:lineRule="auto"/>
        <w:ind w:firstLine="480" w:firstLineChars="200"/>
        <w:rPr>
          <w:rFonts w:hint="eastAsia" w:ascii="宋体" w:hAnsi="宋体" w:cs="宋体"/>
          <w:color w:val="auto"/>
        </w:rPr>
      </w:pPr>
      <w:r>
        <w:rPr>
          <w:rFonts w:hint="eastAsia" w:ascii="宋体" w:hAnsi="宋体" w:cs="宋体"/>
          <w:color w:val="auto"/>
          <w:lang w:eastAsia="zh-CN"/>
        </w:rPr>
        <w:t>为了更好地</w:t>
      </w:r>
      <w:r>
        <w:rPr>
          <w:rFonts w:hint="eastAsia" w:ascii="宋体" w:hAnsi="宋体" w:cs="宋体"/>
          <w:color w:val="auto"/>
        </w:rPr>
        <w:t>建设好本工程，我公司组织了专家和专业技术人员，在熟读设计图纸，深入领会设计意图的基础上，对工程的特点、重点和难点进行详细分析，编制相应对策，简述如下：</w:t>
      </w:r>
    </w:p>
    <w:tbl>
      <w:tblPr>
        <w:tblStyle w:val="54"/>
        <w:tblW w:w="9784" w:type="dxa"/>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shd w:val="clear" w:color="auto" w:fill="auto"/>
        <w:tblLayout w:type="fixed"/>
        <w:tblCellMar>
          <w:top w:w="0" w:type="dxa"/>
          <w:left w:w="0" w:type="dxa"/>
          <w:bottom w:w="0" w:type="dxa"/>
          <w:right w:w="0" w:type="dxa"/>
        </w:tblCellMar>
      </w:tblPr>
      <w:tblGrid>
        <w:gridCol w:w="639"/>
        <w:gridCol w:w="792"/>
        <w:gridCol w:w="3004"/>
        <w:gridCol w:w="5349"/>
      </w:tblGrid>
      <w:tr>
        <w:trPr>
          <w:trHeight w:val="0" w:hRule="atLeast"/>
          <w:tblHeader/>
          <w:jc w:val="center"/>
        </w:trPr>
        <w:tc>
          <w:tcPr>
            <w:tcW w:w="63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bCs/>
                <w:sz w:val="21"/>
                <w:szCs w:val="21"/>
              </w:rPr>
            </w:pPr>
            <w:r>
              <w:rPr>
                <w:rFonts w:hint="eastAsia" w:ascii="宋体" w:hAnsi="宋体" w:cs="宋体"/>
                <w:b/>
                <w:bCs/>
                <w:sz w:val="21"/>
                <w:szCs w:val="21"/>
              </w:rPr>
              <w:t>序号</w:t>
            </w:r>
          </w:p>
        </w:tc>
        <w:tc>
          <w:tcPr>
            <w:tcW w:w="792"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bCs/>
                <w:sz w:val="21"/>
                <w:szCs w:val="21"/>
              </w:rPr>
            </w:pPr>
            <w:r>
              <w:rPr>
                <w:rFonts w:hint="eastAsia" w:ascii="宋体" w:hAnsi="宋体" w:cs="宋体"/>
                <w:b/>
                <w:bCs/>
                <w:sz w:val="21"/>
                <w:szCs w:val="21"/>
              </w:rPr>
              <w:t>项目</w:t>
            </w: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bCs/>
                <w:sz w:val="21"/>
                <w:szCs w:val="21"/>
              </w:rPr>
            </w:pPr>
            <w:r>
              <w:rPr>
                <w:rFonts w:hint="eastAsia" w:ascii="宋体" w:hAnsi="宋体" w:cs="宋体"/>
                <w:b/>
                <w:bCs/>
                <w:sz w:val="21"/>
                <w:szCs w:val="21"/>
                <w:lang w:eastAsia="zh-CN"/>
              </w:rPr>
              <w:t>重难点</w:t>
            </w:r>
            <w:r>
              <w:rPr>
                <w:rFonts w:hint="eastAsia" w:ascii="宋体" w:hAnsi="宋体" w:cs="宋体"/>
                <w:b/>
                <w:bCs/>
                <w:sz w:val="21"/>
                <w:szCs w:val="21"/>
              </w:rPr>
              <w:t>分析</w:t>
            </w:r>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bCs/>
                <w:sz w:val="21"/>
                <w:szCs w:val="21"/>
              </w:rPr>
            </w:pPr>
            <w:r>
              <w:rPr>
                <w:rFonts w:hint="eastAsia" w:ascii="宋体" w:hAnsi="宋体" w:cs="宋体"/>
                <w:b/>
                <w:bCs/>
                <w:sz w:val="21"/>
                <w:szCs w:val="21"/>
              </w:rPr>
              <w:t>对策</w:t>
            </w:r>
          </w:p>
        </w:tc>
      </w:tr>
      <w:tr>
        <w:trPr>
          <w:trHeight w:val="0" w:hRule="atLeast"/>
          <w:jc w:val="center"/>
        </w:trPr>
        <w:tc>
          <w:tcPr>
            <w:tcW w:w="63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一</w:t>
            </w:r>
          </w:p>
        </w:tc>
        <w:tc>
          <w:tcPr>
            <w:tcW w:w="792"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响应</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招标</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文件</w:t>
            </w: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sz w:val="21"/>
                <w:szCs w:val="21"/>
              </w:rPr>
            </w:pPr>
            <w:r>
              <w:rPr>
                <w:rFonts w:hint="eastAsia" w:ascii="宋体" w:hAnsi="宋体" w:cs="宋体"/>
                <w:b/>
                <w:sz w:val="21"/>
                <w:szCs w:val="21"/>
              </w:rPr>
              <w:t>（一）工期目标</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lang w:val="en-US" w:eastAsia="zh-CN"/>
              </w:rPr>
              <w:t>本</w:t>
            </w:r>
            <w:r>
              <w:rPr>
                <w:rFonts w:hint="eastAsia" w:ascii="宋体" w:hAnsi="宋体" w:cs="宋体"/>
                <w:sz w:val="21"/>
                <w:szCs w:val="21"/>
                <w:lang w:val="zh-CN" w:eastAsia="zh-CN"/>
              </w:rPr>
              <w:t>项目为应急项目，任务重、时间</w:t>
            </w:r>
            <w:r>
              <w:rPr>
                <w:rFonts w:hint="eastAsia" w:ascii="宋体" w:hAnsi="宋体" w:cs="宋体"/>
                <w:color w:val="auto"/>
                <w:sz w:val="21"/>
                <w:szCs w:val="21"/>
                <w:lang w:val="zh-CN" w:eastAsia="zh-CN"/>
              </w:rPr>
              <w:t>紧，</w:t>
            </w:r>
            <w:r>
              <w:rPr>
                <w:rFonts w:hint="eastAsia" w:ascii="宋体" w:hAnsi="宋体" w:cs="宋体"/>
                <w:color w:val="auto"/>
                <w:sz w:val="21"/>
                <w:szCs w:val="21"/>
              </w:rPr>
              <w:t>总工期</w:t>
            </w:r>
            <w:r>
              <w:rPr>
                <w:rFonts w:hint="eastAsia" w:ascii="宋体" w:hAnsi="宋体" w:cs="宋体"/>
                <w:color w:val="auto"/>
                <w:sz w:val="21"/>
                <w:szCs w:val="21"/>
                <w:u w:val="single"/>
                <w:lang w:val="en-US" w:eastAsia="zh-CN"/>
              </w:rPr>
              <w:t xml:space="preserve"> 540 </w:t>
            </w:r>
            <w:r>
              <w:rPr>
                <w:rFonts w:hint="eastAsia" w:ascii="宋体" w:hAnsi="宋体" w:cs="宋体"/>
                <w:color w:val="auto"/>
                <w:sz w:val="21"/>
                <w:szCs w:val="21"/>
                <w:lang w:val="en-US" w:eastAsia="zh-CN"/>
              </w:rPr>
              <w:t>日历天。</w:t>
            </w:r>
          </w:p>
        </w:tc>
        <w:tc>
          <w:tcPr>
            <w:tcW w:w="5349" w:type="dxa"/>
            <w:shd w:val="clear" w:color="auto" w:fill="auto"/>
            <w:noWrap/>
            <w:vAlign w:val="center"/>
          </w:tcPr>
          <w:p>
            <w:pPr>
              <w:keepNext w:val="0"/>
              <w:keepLines w:val="0"/>
              <w:pageBreakBefore w:val="0"/>
              <w:widowControl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我司将体现总承包管理的优势，针对本工程组建强有力的、有类似工程丰富经验的项目组织管理团队，配备充足的经验丰富的专业工程技术人员，满足对本工程的人员配置要求；充分调动公司各项资源，并合理利用社会资源，在资金、物资、劳动力人员</w:t>
            </w:r>
            <w:r>
              <w:rPr>
                <w:rFonts w:hint="eastAsia" w:ascii="宋体" w:hAnsi="宋体" w:cs="宋体"/>
                <w:sz w:val="21"/>
                <w:szCs w:val="21"/>
                <w:lang w:eastAsia="zh-CN"/>
              </w:rPr>
              <w:t>给予</w:t>
            </w:r>
            <w:r>
              <w:rPr>
                <w:rFonts w:hint="eastAsia" w:ascii="宋体" w:hAnsi="宋体" w:cs="宋体"/>
                <w:sz w:val="21"/>
                <w:szCs w:val="21"/>
              </w:rPr>
              <w:t>充分保障，严格项目精细管理，在施工工艺中尽可能采用有利于缩短工期、保证质量的技术工艺。</w:t>
            </w:r>
          </w:p>
          <w:p>
            <w:pPr>
              <w:keepNext w:val="0"/>
              <w:keepLines w:val="0"/>
              <w:pageBreakBefore w:val="0"/>
              <w:widowControl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2.我司将加强施工进度计划及实施过程的监控，采取动态管理措施，制定日、周、月及总体计划，并</w:t>
            </w:r>
            <w:r>
              <w:rPr>
                <w:rFonts w:hint="eastAsia" w:ascii="宋体" w:hAnsi="宋体" w:cs="宋体"/>
                <w:sz w:val="21"/>
                <w:szCs w:val="21"/>
                <w:lang w:eastAsia="zh-CN"/>
              </w:rPr>
              <w:t>随时</w:t>
            </w:r>
            <w:r>
              <w:rPr>
                <w:rFonts w:hint="eastAsia" w:ascii="宋体" w:hAnsi="宋体" w:cs="宋体"/>
                <w:sz w:val="21"/>
                <w:szCs w:val="21"/>
              </w:rPr>
              <w:t>进行动态分析对比，及时调整偏差，制定有效的计划调整措施，使工程建设在拟定各个节点日期内高标准建设完成。</w:t>
            </w:r>
          </w:p>
          <w:p>
            <w:pPr>
              <w:keepNext w:val="0"/>
              <w:keepLines w:val="0"/>
              <w:pageBreakBefore w:val="0"/>
              <w:widowControl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color w:val="FF0000"/>
                <w:sz w:val="21"/>
                <w:szCs w:val="21"/>
              </w:rPr>
            </w:pPr>
            <w:r>
              <w:rPr>
                <w:rFonts w:hint="eastAsia" w:ascii="宋体" w:hAnsi="宋体" w:cs="宋体"/>
                <w:sz w:val="21"/>
                <w:szCs w:val="21"/>
                <w:lang w:val="en-US" w:eastAsia="zh-CN"/>
              </w:rPr>
              <w:t>3</w:t>
            </w:r>
            <w:r>
              <w:rPr>
                <w:rFonts w:hint="eastAsia" w:ascii="宋体" w:hAnsi="宋体" w:cs="宋体"/>
                <w:sz w:val="21"/>
                <w:szCs w:val="21"/>
              </w:rPr>
              <w:t>.通过BIM技术4D施工过程模拟进行指导施工。</w:t>
            </w:r>
          </w:p>
        </w:tc>
      </w:tr>
      <w:tr>
        <w:trPr>
          <w:trHeight w:val="0" w:hRule="atLeast"/>
          <w:jc w:val="center"/>
        </w:trPr>
        <w:tc>
          <w:tcPr>
            <w:tcW w:w="639"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二</w:t>
            </w:r>
          </w:p>
        </w:tc>
        <w:tc>
          <w:tcPr>
            <w:tcW w:w="792"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现场</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组织</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管理</w:t>
            </w: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sz w:val="21"/>
                <w:szCs w:val="21"/>
              </w:rPr>
            </w:pPr>
            <w:r>
              <w:rPr>
                <w:rFonts w:hint="eastAsia" w:ascii="宋体" w:hAnsi="宋体" w:cs="宋体"/>
                <w:b/>
                <w:sz w:val="21"/>
                <w:szCs w:val="21"/>
              </w:rPr>
              <w:t>（一）场内倒运</w:t>
            </w:r>
          </w:p>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lang w:eastAsia="zh-CN"/>
              </w:rPr>
              <w:t>本项目的场地狭小，</w:t>
            </w:r>
            <w:r>
              <w:rPr>
                <w:rFonts w:hint="eastAsia" w:ascii="宋体" w:hAnsi="宋体" w:cs="宋体"/>
                <w:sz w:val="21"/>
                <w:szCs w:val="21"/>
              </w:rPr>
              <w:t>材料倒运工程量大，而工程施工过程中混凝土结构、装修、机电等将同时施工，各专业均需要相应的堆放场地。</w:t>
            </w:r>
          </w:p>
        </w:tc>
        <w:tc>
          <w:tcPr>
            <w:tcW w:w="5349" w:type="dxa"/>
            <w:shd w:val="clear" w:color="auto" w:fill="auto"/>
            <w:noWrap/>
            <w:vAlign w:val="center"/>
          </w:tcPr>
          <w:p>
            <w:pPr>
              <w:keepNext w:val="0"/>
              <w:keepLines w:val="0"/>
              <w:pageBreakBefore w:val="0"/>
              <w:widowControl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1.我司将充分利用现场施工场地，尽可能进行流水施工并尽量细化流水段，充分考虑不利因素，合理施工保证工期。</w:t>
            </w:r>
          </w:p>
          <w:p>
            <w:pPr>
              <w:keepNext w:val="0"/>
              <w:keepLines w:val="0"/>
              <w:pageBreakBefore w:val="0"/>
              <w:widowControl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我司将严格材料计划管理，确实落实材料、设备的日、周、月等计划，派有丰富此类经验的管理人员负责整个工程材料、设备、物资供应的保障及落实，对现场统一规划，尽量安排材料厂外加工，合理安排材料进场计划随到随用，并且根据不同施工阶段对施工现场进行动态调整。</w:t>
            </w:r>
          </w:p>
        </w:tc>
      </w:tr>
      <w:tr>
        <w:trPr>
          <w:trHeight w:val="0" w:hRule="atLeast"/>
          <w:jc w:val="center"/>
        </w:trPr>
        <w:tc>
          <w:tcPr>
            <w:tcW w:w="639"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792"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sz w:val="21"/>
                <w:szCs w:val="21"/>
              </w:rPr>
            </w:pPr>
            <w:r>
              <w:rPr>
                <w:rFonts w:hint="eastAsia" w:ascii="宋体" w:hAnsi="宋体" w:cs="宋体"/>
                <w:b/>
                <w:sz w:val="21"/>
                <w:szCs w:val="21"/>
              </w:rPr>
              <w:t>（二）多专业交叉作业</w:t>
            </w:r>
          </w:p>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lang w:eastAsia="zh-CN"/>
              </w:rPr>
              <w:t>本项目任务重、时间紧，</w:t>
            </w:r>
            <w:r>
              <w:rPr>
                <w:rFonts w:hint="eastAsia" w:ascii="宋体" w:hAnsi="宋体" w:cs="宋体"/>
                <w:sz w:val="21"/>
                <w:szCs w:val="21"/>
              </w:rPr>
              <w:t>而在此期间各分部分项工程包括</w:t>
            </w:r>
            <w:r>
              <w:rPr>
                <w:rFonts w:hint="eastAsia" w:ascii="宋体" w:hAnsi="宋体" w:cs="宋体"/>
                <w:sz w:val="21"/>
                <w:szCs w:val="21"/>
                <w:lang w:eastAsia="zh-CN"/>
              </w:rPr>
              <w:t>基础、</w:t>
            </w:r>
            <w:r>
              <w:rPr>
                <w:rFonts w:hint="eastAsia" w:ascii="宋体" w:hAnsi="宋体" w:cs="宋体"/>
                <w:sz w:val="21"/>
                <w:szCs w:val="21"/>
              </w:rPr>
              <w:t>主体结构、装饰装修、机电安装等均会受到影响，对安全保证、文明施工、质量保证都将很大影响，如何合理组织劳动力满足工期要求，也将成为一大重点。</w:t>
            </w:r>
          </w:p>
        </w:tc>
        <w:tc>
          <w:tcPr>
            <w:tcW w:w="5349" w:type="dxa"/>
            <w:shd w:val="clear" w:color="auto" w:fill="auto"/>
            <w:noWrap/>
            <w:vAlign w:val="center"/>
          </w:tcPr>
          <w:p>
            <w:pPr>
              <w:keepNext w:val="0"/>
              <w:keepLines w:val="0"/>
              <w:pageBreakBefore w:val="0"/>
              <w:widowControl w:val="0"/>
              <w:numPr>
                <w:ilvl w:val="0"/>
                <w:numId w:val="13"/>
              </w:numPr>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cs="宋体"/>
                <w:sz w:val="21"/>
                <w:szCs w:val="21"/>
              </w:rPr>
            </w:pPr>
            <w:r>
              <w:rPr>
                <w:rFonts w:hint="eastAsia" w:ascii="宋体" w:hAnsi="宋体" w:cs="宋体"/>
                <w:sz w:val="21"/>
                <w:szCs w:val="21"/>
              </w:rPr>
              <w:t>我司将使用长期合作、可靠的劳务队伍；在关键时候能够吃苦耐劳，并且合理划分段施工。我司将充分发挥高效的总包管理满足工期要求。</w:t>
            </w:r>
          </w:p>
          <w:p>
            <w:pPr>
              <w:keepNext w:val="0"/>
              <w:keepLines w:val="0"/>
              <w:pageBreakBefore w:val="0"/>
              <w:widowControl w:val="0"/>
              <w:numPr>
                <w:ilvl w:val="0"/>
                <w:numId w:val="13"/>
              </w:numPr>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我司将结合宁波历年的冬雨期的气候资料如降雨量等以及可能出现的不可抗力做好应急预案，提前做好冬雨季施工的相关教育，准备充足的物资保证冬雨季施工不受影响。将自然环境带来的不利因素降到最低。</w:t>
            </w:r>
          </w:p>
        </w:tc>
      </w:tr>
      <w:tr>
        <w:trPr>
          <w:trHeight w:val="2571" w:hRule="atLeast"/>
          <w:jc w:val="center"/>
        </w:trPr>
        <w:tc>
          <w:tcPr>
            <w:tcW w:w="63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sz w:val="21"/>
                <w:szCs w:val="21"/>
              </w:rPr>
            </w:pPr>
            <w:r>
              <w:rPr>
                <w:rFonts w:hint="eastAsia" w:ascii="宋体" w:hAnsi="宋体" w:cs="宋体"/>
                <w:b/>
                <w:sz w:val="21"/>
                <w:szCs w:val="21"/>
              </w:rPr>
              <w:t>三</w:t>
            </w:r>
          </w:p>
        </w:tc>
        <w:tc>
          <w:tcPr>
            <w:tcW w:w="792"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hint="default" w:ascii="宋体" w:hAnsi="宋体" w:eastAsia="宋体" w:cs="宋体"/>
                <w:b/>
                <w:kern w:val="2"/>
                <w:sz w:val="21"/>
                <w:szCs w:val="21"/>
                <w:lang w:val="en-US" w:eastAsia="zh-CN" w:bidi="ar-SA"/>
              </w:rPr>
            </w:pPr>
            <w:r>
              <w:rPr>
                <w:rFonts w:hint="eastAsia"/>
                <w:sz w:val="21"/>
                <w:szCs w:val="21"/>
                <w:lang w:val="en-US" w:eastAsia="zh-CN"/>
              </w:rPr>
              <w:t>深基坑施工</w:t>
            </w: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hint="eastAsia" w:ascii="宋体" w:hAnsi="宋体" w:eastAsia="宋体" w:cs="宋体"/>
                <w:color w:val="FF0000"/>
                <w:kern w:val="2"/>
                <w:sz w:val="21"/>
                <w:szCs w:val="21"/>
                <w:lang w:val="en-US" w:eastAsia="zh-CN" w:bidi="ar-SA"/>
              </w:rPr>
            </w:pPr>
            <w:r>
              <w:rPr>
                <w:rFonts w:hint="eastAsia" w:ascii="宋体" w:hAnsi="宋体" w:eastAsia="宋体" w:cs="宋体"/>
                <w:color w:val="auto"/>
                <w:sz w:val="21"/>
                <w:szCs w:val="21"/>
                <w:lang w:val="en-US" w:eastAsia="zh-CN"/>
              </w:rPr>
              <w:t>本项目基坑开挖深度在</w:t>
            </w:r>
            <w:r>
              <w:rPr>
                <w:rFonts w:hint="eastAsia" w:ascii="宋体" w:hAnsi="宋体" w:cs="宋体"/>
                <w:color w:val="auto"/>
                <w:sz w:val="21"/>
                <w:szCs w:val="21"/>
                <w:lang w:val="en-US" w:eastAsia="zh-CN"/>
              </w:rPr>
              <w:t>4.8</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5.9</w:t>
            </w:r>
            <w:r>
              <w:rPr>
                <w:rFonts w:hint="eastAsia" w:ascii="宋体" w:hAnsi="宋体" w:eastAsia="宋体" w:cs="宋体"/>
                <w:color w:val="auto"/>
                <w:sz w:val="21"/>
                <w:szCs w:val="21"/>
                <w:lang w:val="en-US" w:eastAsia="zh-CN"/>
              </w:rPr>
              <w:t>m之间，属于超危大工程。</w:t>
            </w:r>
          </w:p>
        </w:tc>
        <w:tc>
          <w:tcPr>
            <w:tcW w:w="5349" w:type="dxa"/>
            <w:shd w:val="clear" w:color="auto" w:fill="auto"/>
            <w:noWrap/>
            <w:vAlign w:val="center"/>
          </w:tcPr>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1.方案专家论证：组织专家对深基坑支护、挖土、拆撑等方案进行专家论证，集思广益，最大限度</w:t>
            </w:r>
            <w:r>
              <w:rPr>
                <w:rFonts w:hint="eastAsia" w:ascii="宋体" w:cs="宋体"/>
                <w:color w:val="auto"/>
                <w:kern w:val="2"/>
                <w:sz w:val="21"/>
                <w:szCs w:val="21"/>
                <w:lang w:val="en-US" w:eastAsia="zh-CN" w:bidi="ar-SA"/>
              </w:rPr>
              <w:t>地</w:t>
            </w:r>
            <w:r>
              <w:rPr>
                <w:rFonts w:hint="eastAsia" w:ascii="宋体" w:hAnsi="宋体" w:eastAsia="宋体" w:cs="宋体"/>
                <w:color w:val="auto"/>
                <w:kern w:val="2"/>
                <w:sz w:val="21"/>
                <w:szCs w:val="21"/>
                <w:lang w:val="en-US" w:eastAsia="zh-CN" w:bidi="ar-SA"/>
              </w:rPr>
              <w:t>追求施工方案的安全可靠性。</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2.严格控制基坑周边荷载，保证材料堆场及加工场地距离、重车行走符合规范要求。</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3.“分块、分层、限时、对称” 开挖土方合理组织土方开挖顺序及施工进度，提前与相关单位确认南侧管道事宜。</w:t>
            </w:r>
          </w:p>
        </w:tc>
      </w:tr>
      <w:tr>
        <w:trPr>
          <w:trHeight w:val="0" w:hRule="atLeast"/>
          <w:jc w:val="center"/>
        </w:trPr>
        <w:tc>
          <w:tcPr>
            <w:tcW w:w="639"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四</w:t>
            </w:r>
          </w:p>
        </w:tc>
        <w:tc>
          <w:tcPr>
            <w:tcW w:w="792"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hint="default" w:ascii="宋体" w:hAnsi="宋体" w:eastAsia="宋体" w:cs="宋体"/>
                <w:b w:val="0"/>
                <w:bCs/>
                <w:sz w:val="21"/>
                <w:szCs w:val="21"/>
                <w:lang w:val="en-US" w:eastAsia="zh-CN"/>
              </w:rPr>
            </w:pPr>
            <w:r>
              <w:rPr>
                <w:rFonts w:hint="eastAsia" w:ascii="宋体" w:hAnsi="宋体" w:cs="宋体"/>
                <w:b w:val="0"/>
                <w:bCs/>
                <w:sz w:val="21"/>
                <w:szCs w:val="21"/>
                <w:lang w:val="en-US" w:eastAsia="zh-CN"/>
              </w:rPr>
              <w:t>基础施工阶段</w:t>
            </w: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基坑施工阶段对周边影响大</w:t>
            </w:r>
          </w:p>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val="0"/>
                <w:bCs/>
                <w:sz w:val="21"/>
                <w:szCs w:val="21"/>
              </w:rPr>
            </w:pPr>
          </w:p>
        </w:tc>
        <w:tc>
          <w:tcPr>
            <w:tcW w:w="5349" w:type="dxa"/>
            <w:shd w:val="clear" w:color="auto" w:fill="auto"/>
            <w:noWrap/>
            <w:vAlign w:val="center"/>
          </w:tcPr>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r>
              <w:rPr>
                <w:rFonts w:hint="eastAsia" w:asci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 xml:space="preserve">在施工前进行详细的地质勘查，并在施工过程中实施实时监测，以评估对邻近建筑物的潜在影响，采用隔振沟、泄压孔等措施减少施工对现有建筑的影响。 </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r>
              <w:rPr>
                <w:rFonts w:hint="eastAsia" w:asci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 xml:space="preserve">提前办好渣土准运证，夜间许可证等，避开早、晚高峰，做好夜间施工准备。 </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r>
              <w:rPr>
                <w:rFonts w:hint="eastAsia" w:asci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 xml:space="preserve">提前规划施工方案，采用高效材料供应策略，如分批供应、即时配送，减少现场存储、运输需求。 </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eastAsia="宋体" w:cs="宋体"/>
                <w:color w:val="auto"/>
                <w:kern w:val="2"/>
                <w:sz w:val="21"/>
                <w:szCs w:val="21"/>
                <w:lang w:val="en-US" w:eastAsia="zh-CN" w:bidi="ar-SA"/>
              </w:rPr>
              <w:t>4</w:t>
            </w:r>
            <w:r>
              <w:rPr>
                <w:rFonts w:hint="eastAsia" w:asci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制定详细的施工计划，包括交通组织方案、施工顺序和时间表，以最小化对主干道交通的影响。</w:t>
            </w:r>
          </w:p>
        </w:tc>
      </w:tr>
      <w:tr>
        <w:trPr>
          <w:trHeight w:val="0" w:hRule="atLeast"/>
          <w:jc w:val="center"/>
        </w:trPr>
        <w:tc>
          <w:tcPr>
            <w:tcW w:w="639"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hint="eastAsia" w:ascii="宋体" w:hAnsi="宋体" w:cs="宋体"/>
                <w:b w:val="0"/>
                <w:bCs/>
                <w:sz w:val="21"/>
                <w:szCs w:val="21"/>
              </w:rPr>
            </w:pPr>
          </w:p>
        </w:tc>
        <w:tc>
          <w:tcPr>
            <w:tcW w:w="792"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hint="eastAsia" w:ascii="宋体" w:hAnsi="宋体" w:cs="宋体"/>
                <w:b w:val="0"/>
                <w:bCs/>
                <w:sz w:val="21"/>
                <w:szCs w:val="21"/>
                <w:lang w:val="en-US" w:eastAsia="zh-CN"/>
              </w:rPr>
            </w:pP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hint="default" w:ascii="宋体" w:hAnsi="宋体" w:eastAsia="宋体" w:cs="宋体"/>
                <w:b w:val="0"/>
                <w:bCs/>
                <w:sz w:val="21"/>
                <w:szCs w:val="21"/>
                <w:lang w:val="en-US" w:eastAsia="zh-CN"/>
              </w:rPr>
            </w:pPr>
            <w:r>
              <w:rPr>
                <w:rFonts w:hint="eastAsia" w:ascii="宋体" w:hAnsi="宋体" w:cs="宋体"/>
                <w:b w:val="0"/>
                <w:bCs/>
                <w:sz w:val="21"/>
                <w:szCs w:val="21"/>
                <w:lang w:val="en-US" w:eastAsia="zh-CN"/>
              </w:rPr>
              <w:t>场地内存在老桩基础</w:t>
            </w:r>
          </w:p>
        </w:tc>
        <w:tc>
          <w:tcPr>
            <w:tcW w:w="5349"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cs="宋体"/>
                <w:sz w:val="21"/>
                <w:szCs w:val="21"/>
              </w:rPr>
            </w:pPr>
            <w:r>
              <w:rPr>
                <w:rFonts w:hint="eastAsia" w:ascii="宋体" w:hAnsi="宋体" w:cs="宋体"/>
                <w:sz w:val="21"/>
                <w:szCs w:val="21"/>
              </w:rPr>
              <w:t>1、根据图纸上表明的老旧基础桩的平面位置，进行现场标识。并与建设、设计、监理单位对接，能够进行承台及桩转向避让的进行避让施工处理，对于无法避让的原承台进行开挖对老基础承台进行破除处理。</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hint="eastAsia" w:ascii="宋体" w:hAnsi="宋体" w:cs="宋体"/>
                <w:sz w:val="21"/>
                <w:szCs w:val="21"/>
              </w:rPr>
            </w:pPr>
            <w:r>
              <w:rPr>
                <w:rFonts w:hint="eastAsia" w:ascii="宋体" w:hAnsi="宋体" w:cs="宋体"/>
                <w:sz w:val="21"/>
                <w:szCs w:val="21"/>
              </w:rPr>
              <w:t>2、对于表层杂填土较厚区域(场地内分布有老桩和老基础) 、暗塘、老河道和存在地下障碍物区域，在桩基施工前，需进行清障处理，要求先用素粘土换填后方可施工双轴水泥搅拌桩，建议换填时采用分段换填。</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3、施工前，应查明原厂房老桩的位置，拉森钢板桩和 PC 钢管组合桩施工时应避开老桩，消防水池、水泵房底板范围内老桩需凿除至底板垫层底标高。</w:t>
            </w:r>
          </w:p>
        </w:tc>
      </w:tr>
      <w:tr>
        <w:trPr>
          <w:trHeight w:val="5776" w:hRule="atLeast"/>
          <w:jc w:val="center"/>
        </w:trPr>
        <w:tc>
          <w:tcPr>
            <w:tcW w:w="63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五</w:t>
            </w:r>
          </w:p>
        </w:tc>
        <w:tc>
          <w:tcPr>
            <w:tcW w:w="792"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eastAsia="宋体" w:cs="宋体"/>
                <w:b w:val="0"/>
                <w:bCs/>
                <w:kern w:val="2"/>
                <w:sz w:val="21"/>
                <w:szCs w:val="21"/>
                <w:lang w:val="en-US" w:eastAsia="zh-CN" w:bidi="ar-SA"/>
              </w:rPr>
            </w:pPr>
            <w:r>
              <w:rPr>
                <w:rFonts w:hint="eastAsia" w:ascii="宋体" w:hAnsi="宋体" w:cs="宋体"/>
                <w:b w:val="0"/>
                <w:bCs/>
                <w:sz w:val="21"/>
                <w:szCs w:val="21"/>
              </w:rPr>
              <w:t>主体结构施工技术重难点</w:t>
            </w: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b w:val="0"/>
                <w:bCs/>
                <w:color w:val="auto"/>
                <w:sz w:val="21"/>
                <w:szCs w:val="21"/>
              </w:rPr>
            </w:pPr>
            <w:r>
              <w:rPr>
                <w:rFonts w:hint="eastAsia" w:ascii="宋体" w:hAnsi="宋体" w:cs="宋体"/>
                <w:b w:val="0"/>
                <w:bCs/>
                <w:color w:val="auto"/>
                <w:sz w:val="21"/>
                <w:szCs w:val="21"/>
              </w:rPr>
              <w:t>超高超重模板支撑体系施工</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eastAsia="宋体" w:cs="宋体"/>
                <w:b w:val="0"/>
                <w:bCs/>
                <w:color w:val="auto"/>
                <w:kern w:val="2"/>
                <w:sz w:val="21"/>
                <w:szCs w:val="21"/>
                <w:lang w:val="en-US" w:eastAsia="zh-CN" w:bidi="ar-SA"/>
              </w:rPr>
            </w:pPr>
            <w:r>
              <w:rPr>
                <w:rFonts w:hint="eastAsia" w:ascii="宋体" w:hAnsi="宋体" w:cs="宋体"/>
                <w:b w:val="0"/>
                <w:bCs/>
                <w:color w:val="auto"/>
                <w:sz w:val="21"/>
                <w:szCs w:val="21"/>
                <w:lang w:eastAsia="zh-CN"/>
              </w:rPr>
              <w:t>主楼一层</w:t>
            </w:r>
            <w:r>
              <w:rPr>
                <w:rFonts w:hint="eastAsia" w:ascii="宋体" w:hAnsi="宋体" w:cs="宋体"/>
                <w:b w:val="0"/>
                <w:bCs/>
                <w:color w:val="auto"/>
                <w:sz w:val="21"/>
                <w:szCs w:val="21"/>
              </w:rPr>
              <w:t>存在</w:t>
            </w:r>
            <w:r>
              <w:rPr>
                <w:rFonts w:hint="eastAsia" w:ascii="宋体" w:hAnsi="宋体" w:cs="宋体"/>
                <w:b w:val="0"/>
                <w:bCs/>
                <w:color w:val="auto"/>
                <w:sz w:val="21"/>
                <w:szCs w:val="21"/>
                <w:lang w:eastAsia="zh-CN"/>
              </w:rPr>
              <w:t>超重梁和超高</w:t>
            </w:r>
            <w:r>
              <w:rPr>
                <w:rFonts w:hint="eastAsia" w:ascii="宋体" w:hAnsi="宋体" w:cs="宋体"/>
                <w:b w:val="0"/>
                <w:bCs/>
                <w:color w:val="auto"/>
                <w:sz w:val="21"/>
                <w:szCs w:val="21"/>
              </w:rPr>
              <w:t>梁板，</w:t>
            </w:r>
            <w:r>
              <w:rPr>
                <w:rFonts w:hint="eastAsia" w:ascii="宋体" w:hAnsi="宋体" w:cs="宋体"/>
                <w:b w:val="0"/>
                <w:bCs/>
                <w:color w:val="auto"/>
                <w:sz w:val="21"/>
                <w:szCs w:val="21"/>
                <w:lang w:eastAsia="zh-CN"/>
              </w:rPr>
              <w:t>最大尺寸梁截面为</w:t>
            </w:r>
            <w:r>
              <w:rPr>
                <w:rFonts w:hint="eastAsia" w:ascii="宋体" w:hAnsi="宋体" w:cs="宋体"/>
                <w:b w:val="0"/>
                <w:bCs/>
                <w:color w:val="auto"/>
                <w:sz w:val="21"/>
                <w:szCs w:val="21"/>
                <w:lang w:val="en-US" w:eastAsia="zh-CN"/>
              </w:rPr>
              <w:t>600*1200，</w:t>
            </w:r>
            <w:r>
              <w:rPr>
                <w:rFonts w:hint="eastAsia" w:ascii="宋体" w:hAnsi="宋体" w:cs="宋体"/>
                <w:b w:val="0"/>
                <w:bCs/>
                <w:color w:val="auto"/>
                <w:sz w:val="21"/>
                <w:szCs w:val="21"/>
              </w:rPr>
              <w:t>层高达到</w:t>
            </w:r>
            <w:r>
              <w:rPr>
                <w:rFonts w:hint="eastAsia" w:ascii="宋体" w:hAnsi="宋体" w:cs="宋体"/>
                <w:b w:val="0"/>
                <w:bCs/>
                <w:color w:val="auto"/>
                <w:sz w:val="21"/>
                <w:szCs w:val="21"/>
                <w:lang w:val="en-US" w:eastAsia="zh-CN"/>
              </w:rPr>
              <w:t>12</w:t>
            </w:r>
            <w:r>
              <w:rPr>
                <w:rFonts w:hint="eastAsia" w:ascii="宋体" w:hAnsi="宋体" w:cs="宋体"/>
                <w:b w:val="0"/>
                <w:bCs/>
                <w:color w:val="auto"/>
                <w:sz w:val="21"/>
                <w:szCs w:val="21"/>
              </w:rPr>
              <w:t>米，存在超高</w:t>
            </w:r>
            <w:r>
              <w:rPr>
                <w:rFonts w:hint="eastAsia" w:ascii="宋体" w:hAnsi="宋体" w:cs="宋体"/>
                <w:b w:val="0"/>
                <w:bCs/>
                <w:color w:val="auto"/>
                <w:sz w:val="21"/>
                <w:szCs w:val="21"/>
                <w:lang w:eastAsia="zh-CN"/>
              </w:rPr>
              <w:t>超限</w:t>
            </w:r>
            <w:r>
              <w:rPr>
                <w:rFonts w:hint="eastAsia" w:ascii="宋体" w:hAnsi="宋体" w:cs="宋体"/>
                <w:b w:val="0"/>
                <w:bCs/>
                <w:color w:val="auto"/>
                <w:sz w:val="21"/>
                <w:szCs w:val="21"/>
              </w:rPr>
              <w:t>模板支架。</w:t>
            </w:r>
          </w:p>
        </w:tc>
        <w:tc>
          <w:tcPr>
            <w:tcW w:w="5349" w:type="dxa"/>
            <w:shd w:val="clear" w:color="auto" w:fill="auto"/>
            <w:noWrap/>
            <w:vAlign w:val="center"/>
          </w:tcPr>
          <w:p>
            <w:pPr>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420" w:firstLineChars="200"/>
              <w:jc w:val="left"/>
              <w:textAlignment w:val="auto"/>
              <w:rPr>
                <w:rFonts w:hint="eastAsia"/>
                <w:sz w:val="21"/>
                <w:szCs w:val="21"/>
                <w:lang w:val="en-US" w:eastAsia="zh-CN"/>
              </w:rPr>
            </w:pPr>
            <w:r>
              <w:rPr>
                <w:rFonts w:hint="eastAsia"/>
                <w:sz w:val="21"/>
                <w:szCs w:val="21"/>
                <w:lang w:val="en-US" w:eastAsia="zh-CN"/>
              </w:rPr>
              <w:t>1</w:t>
            </w:r>
            <w:r>
              <w:rPr>
                <w:rFonts w:hint="eastAsia" w:ascii="宋体" w:hAnsi="宋体" w:eastAsia="宋体" w:cs="宋体"/>
                <w:sz w:val="21"/>
                <w:szCs w:val="21"/>
                <w:lang w:val="en-US" w:eastAsia="zh-CN"/>
              </w:rPr>
              <w:t>.</w:t>
            </w:r>
            <w:r>
              <w:rPr>
                <w:rFonts w:hint="eastAsia"/>
                <w:sz w:val="21"/>
                <w:szCs w:val="21"/>
              </w:rPr>
              <w:t>根据建设部颁布《危险性较大的分部分项工程安全管理办法》中混凝土模板支撑工程的相关规定</w:t>
            </w:r>
            <w:r>
              <w:rPr>
                <w:rFonts w:hint="eastAsia"/>
                <w:sz w:val="21"/>
                <w:szCs w:val="21"/>
                <w:lang w:eastAsia="zh-CN"/>
              </w:rPr>
              <w:t>及</w:t>
            </w:r>
            <w:r>
              <w:rPr>
                <w:rFonts w:hint="eastAsia"/>
                <w:sz w:val="21"/>
                <w:szCs w:val="21"/>
                <w:lang w:val="en-US" w:eastAsia="zh-CN"/>
              </w:rPr>
              <w:t>甬建发〔</w:t>
            </w:r>
            <w:r>
              <w:rPr>
                <w:rFonts w:hint="default"/>
                <w:sz w:val="21"/>
                <w:szCs w:val="21"/>
                <w:lang w:val="en-US" w:eastAsia="zh-CN"/>
              </w:rPr>
              <w:t>2021</w:t>
            </w:r>
            <w:r>
              <w:rPr>
                <w:rFonts w:hint="eastAsia"/>
                <w:sz w:val="21"/>
                <w:szCs w:val="21"/>
                <w:lang w:val="en-US" w:eastAsia="zh-CN"/>
              </w:rPr>
              <w:t>〕</w:t>
            </w:r>
            <w:r>
              <w:rPr>
                <w:rFonts w:hint="default"/>
                <w:sz w:val="21"/>
                <w:szCs w:val="21"/>
                <w:lang w:val="en-US" w:eastAsia="zh-CN"/>
              </w:rPr>
              <w:t xml:space="preserve">22 </w:t>
            </w:r>
            <w:r>
              <w:rPr>
                <w:rFonts w:hint="eastAsia"/>
                <w:sz w:val="21"/>
                <w:szCs w:val="21"/>
                <w:lang w:val="en-US" w:eastAsia="zh-CN"/>
              </w:rPr>
              <w:t>号文要求</w:t>
            </w:r>
            <w:r>
              <w:rPr>
                <w:rFonts w:hint="eastAsia"/>
                <w:sz w:val="21"/>
                <w:szCs w:val="21"/>
              </w:rPr>
              <w:t>：</w:t>
            </w:r>
            <w:r>
              <w:rPr>
                <w:rFonts w:hint="eastAsia"/>
                <w:sz w:val="21"/>
                <w:szCs w:val="21"/>
                <w:lang w:val="en-US" w:eastAsia="zh-CN"/>
              </w:rPr>
              <w:t xml:space="preserve">自 </w:t>
            </w:r>
            <w:r>
              <w:rPr>
                <w:rFonts w:hint="default"/>
                <w:sz w:val="21"/>
                <w:szCs w:val="21"/>
                <w:lang w:val="en-US" w:eastAsia="zh-CN"/>
              </w:rPr>
              <w:t>2021</w:t>
            </w:r>
            <w:r>
              <w:rPr>
                <w:rFonts w:hint="eastAsia"/>
                <w:sz w:val="21"/>
                <w:szCs w:val="21"/>
                <w:lang w:val="en-US" w:eastAsia="zh-CN"/>
              </w:rPr>
              <w:t xml:space="preserve">年 </w:t>
            </w:r>
            <w:r>
              <w:rPr>
                <w:rFonts w:hint="default"/>
                <w:sz w:val="21"/>
                <w:szCs w:val="21"/>
                <w:lang w:val="en-US" w:eastAsia="zh-CN"/>
              </w:rPr>
              <w:t xml:space="preserve">5 </w:t>
            </w:r>
            <w:r>
              <w:rPr>
                <w:rFonts w:hint="eastAsia"/>
                <w:sz w:val="21"/>
                <w:szCs w:val="21"/>
                <w:lang w:val="en-US" w:eastAsia="zh-CN"/>
              </w:rPr>
              <w:t xml:space="preserve">月 </w:t>
            </w:r>
            <w:r>
              <w:rPr>
                <w:rFonts w:hint="default"/>
                <w:sz w:val="21"/>
                <w:szCs w:val="21"/>
                <w:lang w:val="en-US" w:eastAsia="zh-CN"/>
              </w:rPr>
              <w:t xml:space="preserve">1 </w:t>
            </w:r>
            <w:r>
              <w:rPr>
                <w:rFonts w:hint="eastAsia"/>
                <w:sz w:val="21"/>
                <w:szCs w:val="21"/>
                <w:lang w:val="en-US" w:eastAsia="zh-CN"/>
              </w:rPr>
              <w:t xml:space="preserve">日起，新开工工程搭设高度 </w:t>
            </w:r>
            <w:r>
              <w:rPr>
                <w:rFonts w:hint="default"/>
                <w:sz w:val="21"/>
                <w:szCs w:val="21"/>
                <w:lang w:val="en-US" w:eastAsia="zh-CN"/>
              </w:rPr>
              <w:t xml:space="preserve">6m </w:t>
            </w:r>
            <w:r>
              <w:rPr>
                <w:rFonts w:hint="eastAsia"/>
                <w:sz w:val="21"/>
                <w:szCs w:val="21"/>
                <w:lang w:val="en-US" w:eastAsia="zh-CN"/>
              </w:rPr>
              <w:t xml:space="preserve">及以上，或搭设跨度 </w:t>
            </w:r>
            <w:r>
              <w:rPr>
                <w:rFonts w:hint="default"/>
                <w:sz w:val="21"/>
                <w:szCs w:val="21"/>
                <w:lang w:val="en-US" w:eastAsia="zh-CN"/>
              </w:rPr>
              <w:t>18m</w:t>
            </w:r>
            <w:r>
              <w:rPr>
                <w:rFonts w:hint="eastAsia"/>
                <w:sz w:val="21"/>
                <w:szCs w:val="21"/>
                <w:lang w:val="en-US" w:eastAsia="zh-CN"/>
              </w:rPr>
              <w:t>及以上，或施工总荷载（设计值）</w:t>
            </w:r>
            <w:r>
              <w:rPr>
                <w:rFonts w:hint="default"/>
                <w:sz w:val="21"/>
                <w:szCs w:val="21"/>
                <w:lang w:val="en-US" w:eastAsia="zh-CN"/>
              </w:rPr>
              <w:t xml:space="preserve">15kN/m2 </w:t>
            </w:r>
            <w:r>
              <w:rPr>
                <w:rFonts w:hint="eastAsia"/>
                <w:sz w:val="21"/>
                <w:szCs w:val="21"/>
                <w:lang w:val="en-US" w:eastAsia="zh-CN"/>
              </w:rPr>
              <w:t>及以上，或集中线荷载（设计值）</w:t>
            </w:r>
            <w:r>
              <w:rPr>
                <w:rFonts w:hint="default"/>
                <w:sz w:val="21"/>
                <w:szCs w:val="21"/>
                <w:lang w:val="en-US" w:eastAsia="zh-CN"/>
              </w:rPr>
              <w:t xml:space="preserve">20kN/m </w:t>
            </w:r>
            <w:r>
              <w:rPr>
                <w:rFonts w:hint="eastAsia"/>
                <w:sz w:val="21"/>
                <w:szCs w:val="21"/>
                <w:lang w:val="en-US" w:eastAsia="zh-CN"/>
              </w:rPr>
              <w:t>及以上的混凝土模板支撑工程应当选用承插盘扣式等新型工具式支模架；</w:t>
            </w:r>
          </w:p>
          <w:p>
            <w:pPr>
              <w:pStyle w:val="268"/>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80"/>
              <w:textAlignment w:val="auto"/>
              <w:rPr>
                <w:rFonts w:hint="eastAsia"/>
                <w:sz w:val="21"/>
                <w:szCs w:val="21"/>
              </w:rPr>
            </w:pPr>
            <w:r>
              <w:rPr>
                <w:rFonts w:hint="eastAsia"/>
                <w:sz w:val="21"/>
                <w:szCs w:val="21"/>
                <w:lang w:val="en-US" w:eastAsia="zh-CN"/>
              </w:rPr>
              <w:t>2</w:t>
            </w:r>
            <w:r>
              <w:rPr>
                <w:rFonts w:hint="eastAsia" w:ascii="宋体" w:hAnsi="宋体" w:eastAsia="宋体" w:cs="宋体"/>
                <w:sz w:val="21"/>
                <w:szCs w:val="21"/>
                <w:lang w:val="en-US" w:eastAsia="zh-CN"/>
              </w:rPr>
              <w:t>.</w:t>
            </w:r>
            <w:r>
              <w:rPr>
                <w:rFonts w:hint="eastAsia"/>
                <w:sz w:val="21"/>
                <w:szCs w:val="21"/>
              </w:rPr>
              <w:t>施工监测：</w:t>
            </w:r>
            <w:r>
              <w:rPr>
                <w:rFonts w:hint="eastAsia"/>
                <w:sz w:val="21"/>
                <w:szCs w:val="21"/>
                <w:lang w:val="en-US" w:eastAsia="zh-CN"/>
              </w:rPr>
              <w:t xml:space="preserve">模架使用过程中，采用高支模监测预警系统，通过传感器，实时监测模板支架承受的压力、竖向位移等内容，并通过无线通讯模板将各传感器数据发送至设备信号接收和分析终端。 </w:t>
            </w:r>
          </w:p>
          <w:p>
            <w:pPr>
              <w:keepNext w:val="0"/>
              <w:keepLines w:val="0"/>
              <w:pageBreakBefore w:val="0"/>
              <w:widowControl/>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jc w:val="left"/>
              <w:textAlignment w:val="auto"/>
              <w:rPr>
                <w:rFonts w:hint="eastAsia"/>
                <w:sz w:val="21"/>
                <w:szCs w:val="21"/>
                <w:lang w:val="en-US" w:eastAsia="zh-CN"/>
              </w:rPr>
            </w:pPr>
            <w:r>
              <w:rPr>
                <w:rFonts w:hint="eastAsia"/>
                <w:sz w:val="21"/>
                <w:szCs w:val="21"/>
                <w:lang w:val="en-US" w:eastAsia="zh-CN"/>
              </w:rPr>
              <w:t>3</w:t>
            </w:r>
            <w:r>
              <w:rPr>
                <w:rFonts w:hint="eastAsia" w:ascii="宋体" w:hAnsi="宋体" w:eastAsia="宋体" w:cs="宋体"/>
                <w:sz w:val="21"/>
                <w:szCs w:val="21"/>
                <w:lang w:val="en-US" w:eastAsia="zh-CN"/>
              </w:rPr>
              <w:t>.</w:t>
            </w:r>
            <w:r>
              <w:rPr>
                <w:rFonts w:hint="eastAsia"/>
                <w:sz w:val="21"/>
                <w:szCs w:val="21"/>
                <w:lang w:val="en-US" w:eastAsia="zh-CN"/>
              </w:rPr>
              <w:t>技术准备：编制高支模施工专项技术及安全方案，并组织专家论证。重要节点位置采用 ANSYS 等有限元计算软件复核。</w:t>
            </w:r>
          </w:p>
          <w:p>
            <w:pPr>
              <w:pStyle w:val="2"/>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hint="default" w:ascii="Times New Roman" w:hAnsi="Times New Roman" w:eastAsia="宋体" w:cs="Times New Roman"/>
                <w:kern w:val="2"/>
                <w:sz w:val="21"/>
                <w:szCs w:val="21"/>
                <w:lang w:val="en-US" w:eastAsia="zh-CN" w:bidi="ar-SA"/>
              </w:rPr>
            </w:pPr>
            <w:r>
              <w:rPr>
                <w:rFonts w:hint="eastAsia" w:ascii="宋体" w:hAnsi="宋体" w:eastAsia="宋体" w:cs="宋体"/>
                <w:sz w:val="21"/>
                <w:szCs w:val="21"/>
                <w:lang w:val="en-US" w:eastAsia="zh-CN"/>
              </w:rPr>
              <w:t>4.</w:t>
            </w:r>
            <w:r>
              <w:rPr>
                <w:rFonts w:hint="eastAsia" w:ascii="宋体" w:hAnsi="宋体" w:eastAsia="宋体" w:cs="宋体"/>
                <w:b w:val="0"/>
                <w:bCs w:val="0"/>
                <w:sz w:val="21"/>
                <w:szCs w:val="21"/>
                <w:lang w:val="en-US" w:eastAsia="zh-CN"/>
              </w:rPr>
              <w:t>根</w:t>
            </w:r>
            <w:r>
              <w:rPr>
                <w:rFonts w:hint="eastAsia" w:ascii="宋体" w:hAnsi="宋体" w:eastAsia="宋体" w:cs="宋体"/>
                <w:sz w:val="21"/>
                <w:szCs w:val="21"/>
                <w:lang w:val="en-US" w:eastAsia="zh-CN"/>
              </w:rPr>
              <w:t>据模板工程的常见质量、安全问题，制定应急预案。</w:t>
            </w:r>
          </w:p>
        </w:tc>
      </w:tr>
      <w:tr>
        <w:trPr>
          <w:trHeight w:val="0" w:hRule="atLeast"/>
          <w:jc w:val="center"/>
        </w:trPr>
        <w:tc>
          <w:tcPr>
            <w:tcW w:w="639"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六</w:t>
            </w:r>
          </w:p>
        </w:tc>
        <w:tc>
          <w:tcPr>
            <w:tcW w:w="792"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总承包管理的组织协调</w:t>
            </w: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val="0"/>
                <w:bCs/>
                <w:sz w:val="21"/>
                <w:szCs w:val="21"/>
              </w:rPr>
            </w:pPr>
            <w:r>
              <w:rPr>
                <w:rFonts w:hint="eastAsia" w:ascii="宋体" w:hAnsi="宋体" w:cs="宋体"/>
                <w:b w:val="0"/>
                <w:bCs/>
                <w:sz w:val="21"/>
                <w:szCs w:val="21"/>
              </w:rPr>
              <w:t>本工程各工种、各专业分包多，各工种间、各专业分包间的交叉作业繁多而频繁，总承包管理的组织协调是影响整体工程工期是否能按期完成，施工质量能否得到有效保障的关键，也是本项目组织管理工作的一大重点。</w:t>
            </w:r>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我司将根据以往丰富的类似工程经验采用成熟的管理措施，明确各工种、各专业分包的交接界面责任，执行严格的管理措施，强化总承包管理在施工中的核心作用，从项目内部细化管理入手，如施组、方案二次交底，到施工各方组织协调，如设计交底，及外部的相关方配合，如市政工程的部署安排，我司均将安排相关有丰富经验的负责人进行统一联系，落实监督考核机制，保证项目总承包管理工作在本工程中发挥组织协调的关键作用，成为项目管理的闪光点。</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2.做好总承包管理，要求分包商做好二次装修深化设计和样板间、样板段的施工工作，确定装修工艺、质量标准，为大面积精装修施工的顺利展开创造条件，并严格按照样板进行质量检查及验收。</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3.加强施工过程中</w:t>
            </w:r>
            <w:r>
              <w:rPr>
                <w:rFonts w:hint="eastAsia" w:ascii="宋体" w:hAnsi="宋体" w:cs="宋体"/>
                <w:sz w:val="21"/>
                <w:szCs w:val="21"/>
                <w:lang w:eastAsia="zh-CN"/>
              </w:rPr>
              <w:t>的</w:t>
            </w:r>
            <w:r>
              <w:rPr>
                <w:rFonts w:hint="eastAsia" w:ascii="宋体" w:hAnsi="宋体" w:cs="宋体"/>
                <w:sz w:val="21"/>
                <w:szCs w:val="21"/>
              </w:rPr>
              <w:t>成品保护工作，根据各分部分项工程，制定详细的成品保护方案。</w:t>
            </w:r>
          </w:p>
        </w:tc>
      </w:tr>
      <w:tr>
        <w:trPr>
          <w:trHeight w:val="0" w:hRule="atLeast"/>
          <w:jc w:val="center"/>
        </w:trPr>
        <w:tc>
          <w:tcPr>
            <w:tcW w:w="639"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七</w:t>
            </w:r>
          </w:p>
        </w:tc>
        <w:tc>
          <w:tcPr>
            <w:tcW w:w="792" w:type="dxa"/>
            <w:vMerge w:val="restart"/>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b w:val="0"/>
                <w:bCs/>
                <w:sz w:val="21"/>
                <w:szCs w:val="21"/>
              </w:rPr>
            </w:pPr>
            <w:r>
              <w:rPr>
                <w:rFonts w:hint="eastAsia" w:ascii="宋体" w:hAnsi="宋体" w:cs="宋体"/>
                <w:b w:val="0"/>
                <w:bCs/>
                <w:sz w:val="21"/>
                <w:szCs w:val="21"/>
              </w:rPr>
              <w:t>机电工程总承包管理与协调</w:t>
            </w:r>
          </w:p>
        </w:tc>
        <w:tc>
          <w:tcPr>
            <w:tcW w:w="3004" w:type="dxa"/>
            <w:shd w:val="clear" w:color="auto" w:fill="auto"/>
            <w:noWrap/>
            <w:vAlign w:val="center"/>
          </w:tcPr>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val="0"/>
                <w:bCs/>
                <w:sz w:val="21"/>
                <w:szCs w:val="21"/>
              </w:rPr>
            </w:pPr>
            <w:r>
              <w:rPr>
                <w:rFonts w:hint="eastAsia" w:ascii="宋体" w:hAnsi="宋体" w:cs="宋体"/>
                <w:b w:val="0"/>
                <w:bCs/>
                <w:sz w:val="21"/>
                <w:szCs w:val="21"/>
              </w:rPr>
              <w:t>机电工程：</w:t>
            </w:r>
          </w:p>
          <w:p>
            <w:pPr>
              <w:keepNext w:val="0"/>
              <w:keepLines w:val="0"/>
              <w:pageBreakBefore w:val="0"/>
              <w:suppressLineNumbers w:val="0"/>
              <w:shd w:val="clear"/>
              <w:kinsoku/>
              <w:wordWrap/>
              <w:overflowPunct/>
              <w:topLinePunct w:val="0"/>
              <w:autoSpaceDE w:val="0"/>
              <w:autoSpaceDN w:val="0"/>
              <w:bidi w:val="0"/>
              <w:spacing w:before="0" w:beforeAutospacing="0" w:after="0" w:afterAutospacing="0" w:line="300" w:lineRule="auto"/>
              <w:ind w:left="0" w:leftChars="0" w:right="0" w:rightChars="0"/>
              <w:textAlignment w:val="auto"/>
              <w:rPr>
                <w:rFonts w:ascii="宋体" w:hAnsi="宋体" w:cs="宋体"/>
                <w:b w:val="0"/>
                <w:bCs/>
                <w:sz w:val="21"/>
                <w:szCs w:val="21"/>
              </w:rPr>
            </w:pPr>
            <w:r>
              <w:rPr>
                <w:rFonts w:hint="eastAsia" w:ascii="宋体" w:hAnsi="宋体" w:cs="宋体"/>
                <w:b w:val="0"/>
                <w:bCs/>
                <w:sz w:val="21"/>
                <w:szCs w:val="21"/>
              </w:rPr>
              <w:t>机电工程包括给排水工程、电气工程、消防电气弱电工程预留预埋等。各分部工程系统复杂，各专业交叉作业部位多，设备层、管道井空间狭小管道众多，涉及许多边设计边施工情况，现场施工深化设计要求高，机电专业之间的协调、配合管理工作量特别大，协调工作难度较大。</w:t>
            </w:r>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成立深化设计小组，抽调骨干人员对本工程机电施工图纸进行深化设计，以综合管线图为基础优化机电的设计图纸，按通风空调→给排水及水消防→动力照明（电力）→供电系统→通信→</w:t>
            </w:r>
            <w:r>
              <w:rPr>
                <w:rFonts w:hint="eastAsia" w:ascii="宋体" w:hAnsi="宋体" w:cs="宋体"/>
                <w:sz w:val="21"/>
                <w:szCs w:val="21"/>
                <w:lang w:eastAsia="zh-CN"/>
              </w:rPr>
              <w:t>其他</w:t>
            </w:r>
            <w:r>
              <w:rPr>
                <w:rFonts w:hint="eastAsia" w:ascii="宋体" w:hAnsi="宋体" w:cs="宋体"/>
                <w:sz w:val="21"/>
                <w:szCs w:val="21"/>
              </w:rPr>
              <w:t>专业等顺序安排各专业的管线及设备，个别管线相碰处，根据“小让大、软让硬、弱让强（电压等级）”的原则进行调整，督导安装单位对难于布置使用及安装的地方进行调整，并制定合理的作业顺序。</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lang w:val="en-US" w:eastAsia="zh-CN"/>
              </w:rPr>
              <w:t>2.</w:t>
            </w:r>
            <w:r>
              <w:rPr>
                <w:rFonts w:hint="eastAsia" w:ascii="宋体" w:hAnsi="宋体" w:cs="宋体"/>
                <w:sz w:val="21"/>
                <w:szCs w:val="21"/>
              </w:rPr>
              <w:t>项目部设置机电专人管理协调机电专业的分包工作，每天定时召开机电相关专业的协调配合会议并形成书面会议纪要，加强分包之间的联系和计划管理工作，这样能够避免或减少专业之间的矛盾，从而使机电工程整体顺利实施。</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jc w:val="center"/>
              <w:textAlignment w:val="auto"/>
              <w:rPr>
                <w:rFonts w:ascii="宋体" w:hAnsi="宋体" w:cs="宋体"/>
                <w:sz w:val="21"/>
                <w:szCs w:val="21"/>
              </w:rPr>
            </w:pPr>
          </w:p>
        </w:tc>
      </w:tr>
      <w:tr>
        <w:trPr>
          <w:trHeight w:val="0" w:hRule="atLeast"/>
          <w:jc w:val="center"/>
        </w:trPr>
        <w:tc>
          <w:tcPr>
            <w:tcW w:w="639"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792"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电气专业：</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变配电室、电缆母线敷设：线路绝缘遥测、通电试运行；现场安装后的电线、电缆等成品保护；各层吊顶内相关弱电、消防、网络、广播、保安监控等系统管线的质量控制；强弱电系统综合调试及配合消防系统联动调试等是本工程的重难点。</w:t>
            </w:r>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1.编制专项施工方案，报监理审批，审批合格后方可施工。施工过程中严格按照方案执行。</w:t>
            </w:r>
          </w:p>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2.编制遥测、通电试运行的专项方案，按计划进行遥测和试运行。</w:t>
            </w:r>
          </w:p>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3.提前编制成品保护方案，签订成品保护责任书，责任落实到人，做好质量预防措施，编制机电管线综合平衡图，加强检查频次。</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p>
        </w:tc>
      </w:tr>
      <w:tr>
        <w:trPr>
          <w:trHeight w:val="0" w:hRule="atLeast"/>
          <w:jc w:val="center"/>
        </w:trPr>
        <w:tc>
          <w:tcPr>
            <w:tcW w:w="639"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792"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给排水专业：</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1.生活给水、消防给水等的相互之间的衔接将是给水系统施工管理控制的重点。</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2.给水系统设备泵房；给排水末端器具的准确安装；给排水各精装修专业分包的质量控制是施工的难点。</w:t>
            </w:r>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1.提前进行分界交底划分，专人管理。</w:t>
            </w:r>
          </w:p>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2.提前将各专业的系统管线进行管道综合平衡，做好管道排布。</w:t>
            </w:r>
          </w:p>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3.提前与精装专业确定末端设备尺寸和规格，做好预留位置。</w:t>
            </w:r>
          </w:p>
          <w:p>
            <w:pPr>
              <w:keepNext w:val="0"/>
              <w:keepLines w:val="0"/>
              <w:pageBreakBefore w:val="0"/>
              <w:suppressLineNumbers w:val="0"/>
              <w:shd w:val="clear"/>
              <w:kinsoku/>
              <w:wordWrap/>
              <w:overflowPunct/>
              <w:topLinePunct w:val="0"/>
              <w:autoSpaceDE w:val="0"/>
              <w:autoSpaceDN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4.加强分包的质量控制，提前做好质量控制要求。</w:t>
            </w:r>
          </w:p>
        </w:tc>
      </w:tr>
      <w:tr>
        <w:trPr>
          <w:trHeight w:val="0" w:hRule="atLeast"/>
          <w:jc w:val="center"/>
        </w:trPr>
        <w:tc>
          <w:tcPr>
            <w:tcW w:w="639"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792" w:type="dxa"/>
            <w:vMerge w:val="continue"/>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jc w:val="center"/>
              <w:textAlignment w:val="auto"/>
              <w:rPr>
                <w:rFonts w:ascii="宋体" w:hAnsi="宋体" w:cs="宋体"/>
                <w:sz w:val="21"/>
                <w:szCs w:val="21"/>
              </w:rPr>
            </w:pPr>
          </w:p>
        </w:tc>
        <w:tc>
          <w:tcPr>
            <w:tcW w:w="3004" w:type="dxa"/>
            <w:shd w:val="clear" w:color="auto" w:fill="auto"/>
            <w:noWrap/>
            <w:vAlign w:val="center"/>
          </w:tcPr>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bookmarkStart w:id="17" w:name="_Toc231116999"/>
            <w:bookmarkStart w:id="18" w:name="_Toc242944420"/>
            <w:bookmarkStart w:id="19" w:name="_Toc230455603"/>
            <w:r>
              <w:rPr>
                <w:rFonts w:hint="eastAsia" w:ascii="宋体" w:hAnsi="宋体" w:cs="宋体"/>
                <w:sz w:val="21"/>
                <w:szCs w:val="21"/>
              </w:rPr>
              <w:t>分包的机电专业：</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1.分包机电专业的深化设计及机电管线综合平衡新技术的应用将是施工技术管理控制的重点。</w:t>
            </w:r>
          </w:p>
          <w:p>
            <w:pPr>
              <w:keepNext w:val="0"/>
              <w:keepLines w:val="0"/>
              <w:pageBreakBefore w:val="0"/>
              <w:suppressLineNumbers w:val="0"/>
              <w:shd w:val="clear"/>
              <w:kinsoku/>
              <w:wordWrap/>
              <w:overflowPunct/>
              <w:topLinePunct w:val="0"/>
              <w:bidi w:val="0"/>
              <w:spacing w:before="0" w:beforeAutospacing="0" w:after="0" w:afterAutospacing="0" w:line="300" w:lineRule="auto"/>
              <w:ind w:left="0" w:leftChars="0" w:right="0" w:rightChars="0"/>
              <w:textAlignment w:val="auto"/>
              <w:rPr>
                <w:rFonts w:ascii="宋体" w:hAnsi="宋体" w:cs="宋体"/>
                <w:sz w:val="21"/>
                <w:szCs w:val="21"/>
              </w:rPr>
            </w:pPr>
            <w:r>
              <w:rPr>
                <w:rFonts w:hint="eastAsia" w:ascii="宋体" w:hAnsi="宋体" w:cs="宋体"/>
                <w:sz w:val="21"/>
                <w:szCs w:val="21"/>
              </w:rPr>
              <w:t>2.分包机电专业</w:t>
            </w:r>
            <w:r>
              <w:rPr>
                <w:rFonts w:hint="eastAsia" w:ascii="宋体" w:hAnsi="宋体" w:cs="宋体"/>
                <w:sz w:val="21"/>
                <w:szCs w:val="21"/>
                <w:lang w:eastAsia="zh-CN"/>
              </w:rPr>
              <w:t>与其他</w:t>
            </w:r>
            <w:r>
              <w:rPr>
                <w:rFonts w:hint="eastAsia" w:ascii="宋体" w:hAnsi="宋体" w:cs="宋体"/>
                <w:sz w:val="21"/>
                <w:szCs w:val="21"/>
              </w:rPr>
              <w:t>专业的施工配合管理和施工工序衔接将是机电总包管理控制的难点。</w:t>
            </w:r>
            <w:bookmarkEnd w:id="17"/>
            <w:bookmarkEnd w:id="18"/>
            <w:bookmarkEnd w:id="19"/>
          </w:p>
        </w:tc>
        <w:tc>
          <w:tcPr>
            <w:tcW w:w="5349" w:type="dxa"/>
            <w:shd w:val="clear" w:color="auto" w:fill="auto"/>
            <w:noWrap/>
            <w:vAlign w:val="center"/>
          </w:tcPr>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1.分包进场签订深化设计及机电管线综合平衡新技术的责任书，成立专门的小组，要求分包专人参加深化。</w:t>
            </w:r>
          </w:p>
          <w:p>
            <w:pPr>
              <w:keepNext w:val="0"/>
              <w:keepLines w:val="0"/>
              <w:pageBreakBefore w:val="0"/>
              <w:suppressLineNumbers w:val="0"/>
              <w:shd w:val="clear"/>
              <w:kinsoku/>
              <w:wordWrap/>
              <w:overflowPunct/>
              <w:topLinePunct w:val="0"/>
              <w:bidi w:val="0"/>
              <w:adjustRightInd/>
              <w:snapToGrid w:val="0"/>
              <w:spacing w:before="0" w:beforeAutospacing="0" w:after="0" w:afterAutospacing="0" w:line="300" w:lineRule="auto"/>
              <w:ind w:left="0" w:leftChars="0" w:right="0" w:rightChars="0" w:firstLine="420" w:firstLineChars="200"/>
              <w:textAlignment w:val="auto"/>
              <w:rPr>
                <w:rFonts w:ascii="宋体" w:hAnsi="宋体" w:cs="宋体"/>
                <w:sz w:val="21"/>
                <w:szCs w:val="21"/>
              </w:rPr>
            </w:pPr>
            <w:r>
              <w:rPr>
                <w:rFonts w:hint="eastAsia" w:ascii="宋体" w:hAnsi="宋体" w:cs="宋体"/>
                <w:sz w:val="21"/>
                <w:szCs w:val="21"/>
              </w:rPr>
              <w:t>2.采用定时开会的方法控制分包专业的相互之间的配合衔接。</w:t>
            </w:r>
          </w:p>
        </w:tc>
      </w:tr>
    </w:tbl>
    <w:p>
      <w:pPr>
        <w:widowControl/>
        <w:shd w:val="clear"/>
        <w:spacing w:line="360" w:lineRule="auto"/>
        <w:ind w:firstLine="480" w:firstLineChars="200"/>
      </w:pPr>
      <w:r>
        <w:rPr>
          <w:rFonts w:hint="eastAsia" w:ascii="宋体" w:hAnsi="宋体" w:cs="宋体"/>
          <w:color w:val="000000" w:themeColor="text1"/>
          <w14:textFill>
            <w14:solidFill>
              <w14:schemeClr w14:val="tx1"/>
            </w14:solidFill>
          </w14:textFill>
        </w:rPr>
        <w:t>根据以上确定的工程难点、关键点，将在以后的施工过程中在进行专项方案编制中详细叙述。</w:t>
      </w:r>
    </w:p>
    <w:p>
      <w:pPr>
        <w:pStyle w:val="3"/>
        <w:shd w:val="clear"/>
        <w:bidi w:val="0"/>
      </w:pPr>
      <w:bookmarkStart w:id="20" w:name="_Toc28768"/>
      <w:r>
        <w:rPr>
          <w:rFonts w:hint="eastAsia"/>
        </w:rPr>
        <w:t>第二章</w:t>
      </w:r>
      <w:bookmarkStart w:id="21" w:name="_Toc3399"/>
      <w:r>
        <w:rPr>
          <w:rFonts w:hint="eastAsia"/>
          <w:lang w:val="en-US" w:eastAsia="zh-CN"/>
        </w:rPr>
        <w:t xml:space="preserve">  </w:t>
      </w:r>
      <w:r>
        <w:rPr>
          <w:rFonts w:hint="eastAsia"/>
        </w:rPr>
        <w:t>编制依据</w:t>
      </w:r>
      <w:bookmarkEnd w:id="20"/>
      <w:bookmarkEnd w:id="21"/>
    </w:p>
    <w:p>
      <w:pPr>
        <w:widowControl/>
        <w:shd w:val="clear"/>
        <w:spacing w:line="360" w:lineRule="auto"/>
        <w:ind w:firstLine="480" w:firstLineChars="200"/>
        <w:rPr>
          <w:rFonts w:hint="eastAsia" w:ascii="宋体" w:hAnsi="宋体" w:cs="宋体"/>
        </w:rPr>
      </w:pPr>
      <w:r>
        <w:rPr>
          <w:rFonts w:hint="eastAsia" w:ascii="宋体" w:hAnsi="宋体" w:cs="宋体"/>
        </w:rPr>
        <w:t>为了保证施工组织设计的编制工作顺利进行和提高其编制水平及质量，使施工组织设计更能结合实际、切实可行，并</w:t>
      </w:r>
      <w:r>
        <w:rPr>
          <w:rFonts w:hint="eastAsia" w:ascii="宋体" w:hAnsi="宋体" w:cs="宋体"/>
          <w:lang w:eastAsia="zh-CN"/>
        </w:rPr>
        <w:t>能更好地发挥</w:t>
      </w:r>
      <w:r>
        <w:rPr>
          <w:rFonts w:hint="eastAsia" w:ascii="宋体" w:hAnsi="宋体" w:cs="宋体"/>
        </w:rPr>
        <w:t>其指导施工安排、控制施工进度的作用，以下资料作为编制依据。</w:t>
      </w:r>
    </w:p>
    <w:tbl>
      <w:tblPr>
        <w:tblStyle w:val="54"/>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1"/>
        <w:gridCol w:w="1361"/>
        <w:gridCol w:w="5471"/>
        <w:gridCol w:w="2155"/>
      </w:tblGrid>
      <w:tr>
        <w:trPr>
          <w:trHeight w:val="358" w:hRule="atLeast"/>
          <w:tblHeader/>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b/>
                <w:bCs/>
                <w:color w:val="auto"/>
                <w:sz w:val="21"/>
                <w:szCs w:val="21"/>
              </w:rPr>
            </w:pPr>
            <w:r>
              <w:rPr>
                <w:rFonts w:hint="eastAsia" w:ascii="宋体" w:hAnsi="宋体" w:eastAsia="宋体"/>
                <w:b/>
                <w:bCs/>
                <w:color w:val="auto"/>
                <w:sz w:val="21"/>
                <w:szCs w:val="21"/>
              </w:rPr>
              <w:t>序号</w:t>
            </w:r>
          </w:p>
        </w:tc>
        <w:tc>
          <w:tcPr>
            <w:tcW w:w="697"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b/>
                <w:bCs/>
                <w:color w:val="auto"/>
                <w:sz w:val="21"/>
                <w:szCs w:val="21"/>
                <w:lang w:eastAsia="zh-CN"/>
              </w:rPr>
            </w:pPr>
            <w:r>
              <w:rPr>
                <w:rFonts w:hint="eastAsia" w:ascii="宋体" w:hAnsi="宋体" w:eastAsia="宋体"/>
                <w:b/>
                <w:bCs/>
                <w:color w:val="auto"/>
                <w:sz w:val="21"/>
                <w:szCs w:val="21"/>
                <w:lang w:eastAsia="zh-CN"/>
              </w:rPr>
              <w:t>类型</w:t>
            </w:r>
          </w:p>
        </w:tc>
        <w:tc>
          <w:tcPr>
            <w:tcW w:w="2803"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b/>
                <w:bCs/>
                <w:color w:val="auto"/>
                <w:sz w:val="21"/>
                <w:szCs w:val="21"/>
              </w:rPr>
            </w:pPr>
            <w:r>
              <w:rPr>
                <w:rFonts w:hint="eastAsia" w:ascii="宋体" w:hAnsi="宋体" w:eastAsia="宋体"/>
                <w:b/>
                <w:bCs/>
                <w:color w:val="auto"/>
                <w:sz w:val="21"/>
                <w:szCs w:val="21"/>
                <w:lang w:eastAsia="zh-CN"/>
              </w:rPr>
              <w:t>规范</w:t>
            </w:r>
            <w:r>
              <w:rPr>
                <w:rFonts w:hint="eastAsia" w:ascii="宋体" w:hAnsi="宋体" w:eastAsia="宋体"/>
                <w:b/>
                <w:bCs/>
                <w:color w:val="auto"/>
                <w:sz w:val="21"/>
                <w:szCs w:val="21"/>
              </w:rPr>
              <w:t>名称</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b/>
                <w:bCs/>
                <w:color w:val="auto"/>
                <w:sz w:val="21"/>
                <w:szCs w:val="21"/>
                <w:lang w:eastAsia="zh-CN"/>
              </w:rPr>
            </w:pPr>
            <w:r>
              <w:rPr>
                <w:rFonts w:hint="eastAsia" w:ascii="宋体" w:hAnsi="宋体" w:eastAsia="宋体"/>
                <w:b/>
                <w:bCs/>
                <w:color w:val="auto"/>
                <w:sz w:val="21"/>
                <w:szCs w:val="21"/>
                <w:lang w:eastAsia="zh-CN"/>
              </w:rPr>
              <w:t>编号</w:t>
            </w:r>
          </w:p>
        </w:tc>
      </w:tr>
      <w:tr>
        <w:trPr>
          <w:trHeight w:val="9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w:t>
            </w:r>
          </w:p>
        </w:tc>
        <w:tc>
          <w:tcPr>
            <w:tcW w:w="697" w:type="pct"/>
            <w:vMerge w:val="restart"/>
            <w:shd w:val="clear" w:color="auto" w:fill="auto"/>
            <w:noWrap w:val="0"/>
            <w:vAlign w:val="center"/>
          </w:tcPr>
          <w:p>
            <w:pPr>
              <w:keepNext w:val="0"/>
              <w:keepLines w:val="0"/>
              <w:pageBreakBefore w:val="0"/>
              <w:widowControl w:val="0"/>
              <w:suppressLineNumbers w:val="0"/>
              <w:shd w:val="clear"/>
              <w:kinsoku/>
              <w:wordWrap/>
              <w:overflowPunct/>
              <w:topLinePunct w:val="0"/>
              <w:autoSpaceDE w:val="0"/>
              <w:autoSpaceDN w:val="0"/>
              <w:bidi w:val="0"/>
              <w:adjustRightInd w:val="0"/>
              <w:snapToGrid w:val="0"/>
              <w:spacing w:before="0" w:beforeAutospacing="0" w:after="0" w:afterAutospacing="0" w:line="300" w:lineRule="auto"/>
              <w:ind w:left="0" w:right="0"/>
              <w:jc w:val="center"/>
              <w:textAlignment w:val="auto"/>
              <w:outlineLvl w:val="9"/>
              <w:rPr>
                <w:rFonts w:hint="eastAsia" w:ascii="宋体" w:hAnsi="宋体" w:eastAsia="宋体" w:cs="宋体"/>
                <w:color w:val="auto"/>
                <w:sz w:val="21"/>
                <w:szCs w:val="21"/>
                <w:lang w:val="en-US" w:eastAsia="zh-CN"/>
              </w:rPr>
            </w:pPr>
            <w:r>
              <w:rPr>
                <w:rFonts w:hint="eastAsia" w:ascii="宋体" w:cs="宋体"/>
                <w:color w:val="000000"/>
                <w:kern w:val="0"/>
                <w:sz w:val="21"/>
                <w:szCs w:val="21"/>
                <w:lang w:eastAsia="zh-CN"/>
              </w:rPr>
              <w:t>法律</w:t>
            </w:r>
          </w:p>
        </w:tc>
        <w:tc>
          <w:tcPr>
            <w:tcW w:w="2803" w:type="pct"/>
            <w:shd w:val="clear" w:color="auto" w:fill="auto"/>
            <w:noWrap w:val="0"/>
            <w:vAlign w:val="center"/>
          </w:tcPr>
          <w:p>
            <w:pPr>
              <w:pStyle w:val="288"/>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中华人民共和国安全生产法</w:t>
            </w:r>
          </w:p>
        </w:tc>
        <w:tc>
          <w:tcPr>
            <w:tcW w:w="1104" w:type="pct"/>
            <w:shd w:val="clear" w:color="auto" w:fill="auto"/>
            <w:noWrap w:val="0"/>
            <w:vAlign w:val="center"/>
          </w:tcPr>
          <w:p>
            <w:pPr>
              <w:pStyle w:val="288"/>
              <w:keepNext w:val="0"/>
              <w:keepLines w:val="0"/>
              <w:pageBreakBefore w:val="0"/>
              <w:suppressLineNumbers w:val="0"/>
              <w:shd w:val="clear"/>
              <w:kinsoku/>
              <w:wordWrap/>
              <w:overflowPunct/>
              <w:topLinePunct w:val="0"/>
              <w:bidi w:val="0"/>
              <w:snapToGrid w:val="0"/>
              <w:spacing w:before="0" w:beforeAutospacing="0" w:after="0" w:afterAutospacing="0" w:line="300" w:lineRule="auto"/>
              <w:ind w:left="0" w:right="0" w:firstLine="0" w:firstLineChars="0"/>
              <w:jc w:val="center"/>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主席令第88号</w:t>
            </w:r>
          </w:p>
        </w:tc>
      </w:tr>
      <w:tr>
        <w:trPr>
          <w:trHeight w:val="9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288"/>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中华人民共和国建筑法</w:t>
            </w:r>
          </w:p>
        </w:tc>
        <w:tc>
          <w:tcPr>
            <w:tcW w:w="1104" w:type="pct"/>
            <w:shd w:val="clear" w:color="auto" w:fill="auto"/>
            <w:noWrap w:val="0"/>
            <w:vAlign w:val="center"/>
          </w:tcPr>
          <w:p>
            <w:pPr>
              <w:pStyle w:val="288"/>
              <w:keepNext w:val="0"/>
              <w:keepLines w:val="0"/>
              <w:pageBreakBefore w:val="0"/>
              <w:suppressLineNumbers w:val="0"/>
              <w:shd w:val="clear"/>
              <w:kinsoku/>
              <w:wordWrap/>
              <w:overflowPunct/>
              <w:topLinePunct w:val="0"/>
              <w:bidi w:val="0"/>
              <w:snapToGrid w:val="0"/>
              <w:spacing w:before="0" w:beforeAutospacing="0" w:after="0" w:afterAutospacing="0" w:line="300" w:lineRule="auto"/>
              <w:ind w:left="0" w:right="0" w:firstLine="0" w:firstLineChars="0"/>
              <w:jc w:val="center"/>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主席令第29号</w:t>
            </w:r>
          </w:p>
        </w:tc>
      </w:tr>
      <w:tr>
        <w:trPr>
          <w:trHeight w:val="9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288"/>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建筑工程质量管理条例</w:t>
            </w:r>
          </w:p>
        </w:tc>
        <w:tc>
          <w:tcPr>
            <w:tcW w:w="1104" w:type="pct"/>
            <w:shd w:val="clear" w:color="auto" w:fill="auto"/>
            <w:noWrap w:val="0"/>
            <w:vAlign w:val="center"/>
          </w:tcPr>
          <w:p>
            <w:pPr>
              <w:pStyle w:val="288"/>
              <w:keepNext w:val="0"/>
              <w:keepLines w:val="0"/>
              <w:pageBreakBefore w:val="0"/>
              <w:suppressLineNumbers w:val="0"/>
              <w:shd w:val="clear"/>
              <w:kinsoku/>
              <w:wordWrap/>
              <w:overflowPunct/>
              <w:topLinePunct w:val="0"/>
              <w:bidi w:val="0"/>
              <w:snapToGrid w:val="0"/>
              <w:spacing w:before="0" w:beforeAutospacing="0" w:after="0" w:afterAutospacing="0" w:line="300" w:lineRule="auto"/>
              <w:ind w:left="0" w:right="0" w:firstLine="0" w:firstLineChars="0"/>
              <w:jc w:val="center"/>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国务院令第279号</w:t>
            </w:r>
          </w:p>
        </w:tc>
      </w:tr>
      <w:tr>
        <w:trPr>
          <w:trHeight w:val="9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4</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288"/>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建设工程安全生产管理条例</w:t>
            </w:r>
          </w:p>
        </w:tc>
        <w:tc>
          <w:tcPr>
            <w:tcW w:w="1104" w:type="pct"/>
            <w:shd w:val="clear" w:color="auto" w:fill="auto"/>
            <w:noWrap w:val="0"/>
            <w:vAlign w:val="center"/>
          </w:tcPr>
          <w:p>
            <w:pPr>
              <w:pStyle w:val="288"/>
              <w:keepNext w:val="0"/>
              <w:keepLines w:val="0"/>
              <w:pageBreakBefore w:val="0"/>
              <w:suppressLineNumbers w:val="0"/>
              <w:shd w:val="clear"/>
              <w:kinsoku/>
              <w:wordWrap/>
              <w:overflowPunct/>
              <w:topLinePunct w:val="0"/>
              <w:bidi w:val="0"/>
              <w:snapToGrid w:val="0"/>
              <w:spacing w:before="0" w:beforeAutospacing="0" w:after="0" w:afterAutospacing="0" w:line="300" w:lineRule="auto"/>
              <w:ind w:left="0" w:right="0" w:firstLine="0" w:firstLineChars="0"/>
              <w:jc w:val="center"/>
              <w:textAlignment w:val="auto"/>
              <w:rPr>
                <w:rFonts w:hint="eastAsia" w:ascii="宋体" w:hAnsi="宋体" w:cs="宋体" w:eastAsiaTheme="minorEastAsia"/>
                <w:kern w:val="2"/>
                <w:sz w:val="21"/>
                <w:szCs w:val="21"/>
                <w:lang w:val="en-US" w:eastAsia="zh-CN" w:bidi="ar-SA"/>
              </w:rPr>
            </w:pPr>
            <w:r>
              <w:rPr>
                <w:rFonts w:hint="eastAsia" w:ascii="宋体" w:hAnsi="宋体" w:cs="宋体"/>
                <w:sz w:val="21"/>
                <w:szCs w:val="21"/>
              </w:rPr>
              <w:t>国务院令第393号</w:t>
            </w:r>
          </w:p>
        </w:tc>
      </w:tr>
      <w:tr>
        <w:trPr>
          <w:trHeight w:val="9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5</w:t>
            </w:r>
          </w:p>
        </w:tc>
        <w:tc>
          <w:tcPr>
            <w:tcW w:w="697" w:type="pct"/>
            <w:vMerge w:val="restar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国家标准</w:t>
            </w:r>
          </w:p>
        </w:tc>
        <w:tc>
          <w:tcPr>
            <w:tcW w:w="2803" w:type="pct"/>
            <w:shd w:val="clear" w:color="auto" w:fill="auto"/>
            <w:noWrap w:val="0"/>
            <w:vAlign w:val="center"/>
          </w:tcPr>
          <w:p>
            <w:pPr>
              <w:pStyle w:val="86"/>
              <w:keepNext w:val="0"/>
              <w:keepLines w:val="0"/>
              <w:pageBreakBefore w:val="0"/>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color w:val="auto"/>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建筑工程施工质量验收统一标准</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spacing w:val="0"/>
                <w:sz w:val="21"/>
                <w:szCs w:val="21"/>
              </w:rPr>
              <w:t>GB50300-2013</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eastAsia" w:ascii="宋体" w:hAnsi="宋体" w:eastAsia="宋体" w:cs="Times New Roman"/>
                <w:color w:val="auto"/>
                <w:spacing w:val="-6"/>
                <w:kern w:val="2"/>
                <w:sz w:val="21"/>
                <w:szCs w:val="21"/>
                <w:lang w:val="en-US" w:eastAsia="zh-CN" w:bidi="ar-SA"/>
              </w:rPr>
            </w:pPr>
            <w:r>
              <w:rPr>
                <w:rFonts w:hint="eastAsia" w:ascii="宋体" w:hAnsi="宋体" w:eastAsia="宋体"/>
                <w:color w:val="auto"/>
                <w:sz w:val="21"/>
                <w:szCs w:val="21"/>
                <w:lang w:eastAsia="zh-CN"/>
              </w:rPr>
              <w:t>《</w:t>
            </w:r>
            <w:r>
              <w:rPr>
                <w:spacing w:val="0"/>
                <w:sz w:val="21"/>
                <w:szCs w:val="21"/>
              </w:rPr>
              <w:t>建筑地基基础工程施工质量验收规范</w:t>
            </w:r>
            <w:r>
              <w:rPr>
                <w:rFonts w:hint="eastAsia" w:ascii="宋体" w:hAnsi="宋体" w:eastAsia="宋体"/>
                <w:color w:val="auto"/>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spacing w:val="0"/>
                <w:sz w:val="21"/>
                <w:szCs w:val="21"/>
              </w:rPr>
              <w:t>GB50202-2018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eastAsia="宋体"/>
                <w:color w:val="auto"/>
                <w:sz w:val="21"/>
                <w:szCs w:val="21"/>
                <w:lang w:val="en-US" w:eastAsia="zh-CN"/>
              </w:rPr>
            </w:pPr>
            <w:r>
              <w:rPr>
                <w:rFonts w:hint="eastAsia"/>
                <w:spacing w:val="0"/>
                <w:sz w:val="21"/>
                <w:szCs w:val="21"/>
                <w:lang w:eastAsia="zh-CN"/>
              </w:rPr>
              <w:t>《</w:t>
            </w:r>
            <w:r>
              <w:rPr>
                <w:spacing w:val="0"/>
                <w:sz w:val="21"/>
                <w:szCs w:val="21"/>
              </w:rPr>
              <w:t>混凝土结构工程施工质量验收规范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spacing w:val="0"/>
                <w:sz w:val="21"/>
                <w:szCs w:val="21"/>
              </w:rPr>
              <w:t>GB50204-2015</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8</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eastAsia="宋体"/>
                <w:color w:val="auto"/>
                <w:sz w:val="21"/>
                <w:szCs w:val="21"/>
                <w:lang w:eastAsia="zh-CN"/>
              </w:rPr>
            </w:pPr>
            <w:r>
              <w:rPr>
                <w:rFonts w:hint="eastAsia"/>
                <w:spacing w:val="0"/>
                <w:sz w:val="21"/>
                <w:szCs w:val="21"/>
                <w:lang w:eastAsia="zh-CN"/>
              </w:rPr>
              <w:t>《</w:t>
            </w:r>
            <w:r>
              <w:rPr>
                <w:spacing w:val="0"/>
                <w:sz w:val="21"/>
                <w:szCs w:val="21"/>
              </w:rPr>
              <w:t>砌体工程施工质量验收规范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eastAsia="zh-CN"/>
              </w:rPr>
            </w:pPr>
            <w:r>
              <w:rPr>
                <w:rFonts w:hint="eastAsia" w:ascii="宋体" w:hAnsi="宋体" w:eastAsia="宋体" w:cs="宋体"/>
                <w:spacing w:val="0"/>
                <w:sz w:val="21"/>
                <w:szCs w:val="21"/>
              </w:rPr>
              <w:t>GB50203-2011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9</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eastAsia="宋体"/>
                <w:color w:val="auto"/>
                <w:sz w:val="21"/>
                <w:szCs w:val="21"/>
                <w:lang w:eastAsia="zh-CN"/>
              </w:rPr>
            </w:pPr>
            <w:r>
              <w:rPr>
                <w:rFonts w:hint="eastAsia"/>
                <w:spacing w:val="0"/>
                <w:sz w:val="21"/>
                <w:szCs w:val="21"/>
                <w:lang w:eastAsia="zh-CN"/>
              </w:rPr>
              <w:t>《</w:t>
            </w:r>
            <w:r>
              <w:rPr>
                <w:rFonts w:hint="eastAsia"/>
                <w:spacing w:val="0"/>
                <w:sz w:val="21"/>
                <w:szCs w:val="21"/>
              </w:rPr>
              <w:t>屋面工程技术规范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eastAsia="zh-CN"/>
              </w:rPr>
            </w:pPr>
            <w:r>
              <w:rPr>
                <w:rFonts w:hint="eastAsia" w:ascii="宋体" w:hAnsi="宋体" w:eastAsia="宋体" w:cs="宋体"/>
                <w:spacing w:val="0"/>
                <w:sz w:val="21"/>
                <w:szCs w:val="21"/>
              </w:rPr>
              <w:t>GB50345-2012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10</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eastAsia="宋体"/>
                <w:color w:val="auto"/>
                <w:sz w:val="21"/>
                <w:szCs w:val="21"/>
                <w:lang w:val="en-US" w:eastAsia="zh-CN"/>
              </w:rPr>
            </w:pPr>
            <w:r>
              <w:rPr>
                <w:rFonts w:hint="eastAsia"/>
                <w:spacing w:val="0"/>
                <w:sz w:val="21"/>
                <w:szCs w:val="21"/>
                <w:lang w:eastAsia="zh-CN"/>
              </w:rPr>
              <w:t>《</w:t>
            </w:r>
            <w:r>
              <w:rPr>
                <w:spacing w:val="0"/>
                <w:sz w:val="21"/>
                <w:szCs w:val="21"/>
              </w:rPr>
              <w:t>建筑地面工程施工质量验收规范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spacing w:val="0"/>
                <w:sz w:val="21"/>
                <w:szCs w:val="21"/>
              </w:rPr>
              <w:t>GB50209-2010</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11</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right="0" w:firstLine="0" w:firstLineChars="0"/>
              <w:jc w:val="left"/>
              <w:textAlignment w:val="auto"/>
              <w:rPr>
                <w:rFonts w:hint="eastAsia" w:ascii="宋体" w:hAnsi="宋体" w:eastAsia="宋体" w:cs="Times New Roman"/>
                <w:b w:val="0"/>
                <w:bCs/>
                <w:sz w:val="21"/>
                <w:szCs w:val="21"/>
              </w:rPr>
            </w:pPr>
            <w:r>
              <w:rPr>
                <w:rFonts w:hint="eastAsia"/>
                <w:spacing w:val="0"/>
                <w:sz w:val="21"/>
                <w:szCs w:val="21"/>
                <w:lang w:eastAsia="zh-CN"/>
              </w:rPr>
              <w:t>《</w:t>
            </w:r>
            <w:r>
              <w:rPr>
                <w:rFonts w:hint="eastAsia"/>
                <w:spacing w:val="0"/>
                <w:sz w:val="21"/>
                <w:szCs w:val="21"/>
              </w:rPr>
              <w:t>屋面工程质量验收规范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b w:val="0"/>
                <w:bCs/>
                <w:sz w:val="21"/>
                <w:szCs w:val="21"/>
              </w:rPr>
            </w:pPr>
            <w:r>
              <w:rPr>
                <w:rFonts w:hint="eastAsia" w:ascii="宋体" w:hAnsi="宋体" w:eastAsia="宋体" w:cs="宋体"/>
                <w:spacing w:val="0"/>
                <w:sz w:val="21"/>
                <w:szCs w:val="21"/>
              </w:rPr>
              <w:t>GB50207-2012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12</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spacing w:val="0"/>
                <w:sz w:val="21"/>
                <w:szCs w:val="21"/>
                <w:lang w:eastAsia="zh-CN"/>
              </w:rPr>
              <w:t>《</w:t>
            </w:r>
            <w:r>
              <w:rPr>
                <w:spacing w:val="0"/>
                <w:sz w:val="21"/>
                <w:szCs w:val="21"/>
              </w:rPr>
              <w:t>建筑装饰装修工程施工质量验收规范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b w:val="0"/>
                <w:bCs/>
                <w:sz w:val="21"/>
                <w:szCs w:val="21"/>
              </w:rPr>
            </w:pPr>
            <w:r>
              <w:rPr>
                <w:rFonts w:hint="eastAsia" w:ascii="宋体" w:hAnsi="宋体" w:eastAsia="宋体" w:cs="宋体"/>
                <w:spacing w:val="0"/>
                <w:sz w:val="21"/>
                <w:szCs w:val="21"/>
              </w:rPr>
              <w:t>GB50210-2018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eastAsia" w:ascii="宋体" w:hAnsi="宋体" w:eastAsia="宋体" w:cs="Times New Roman"/>
                <w:b w:val="0"/>
                <w:bCs/>
                <w:sz w:val="21"/>
                <w:szCs w:val="21"/>
              </w:rPr>
            </w:pPr>
            <w:r>
              <w:rPr>
                <w:rFonts w:hint="eastAsia"/>
                <w:spacing w:val="0"/>
                <w:sz w:val="21"/>
                <w:szCs w:val="21"/>
                <w:lang w:eastAsia="zh-CN"/>
              </w:rPr>
              <w:t>《</w:t>
            </w:r>
            <w:r>
              <w:rPr>
                <w:rFonts w:hint="eastAsia"/>
                <w:spacing w:val="0"/>
                <w:sz w:val="21"/>
                <w:szCs w:val="21"/>
              </w:rPr>
              <w:t>建筑节能工程施工质量验收规范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b w:val="0"/>
                <w:bCs/>
                <w:sz w:val="21"/>
                <w:szCs w:val="21"/>
              </w:rPr>
            </w:pPr>
            <w:r>
              <w:rPr>
                <w:rFonts w:hint="eastAsia" w:ascii="宋体" w:hAnsi="宋体" w:eastAsia="宋体" w:cs="宋体"/>
                <w:spacing w:val="0"/>
                <w:sz w:val="21"/>
                <w:szCs w:val="21"/>
              </w:rPr>
              <w:t>GB50411-2019</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14</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spacing w:val="0"/>
                <w:sz w:val="21"/>
                <w:szCs w:val="21"/>
              </w:rPr>
              <w:t>地下工程防水技术规范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GB50108-2008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15</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spacing w:val="0"/>
                <w:sz w:val="21"/>
                <w:szCs w:val="21"/>
              </w:rPr>
              <w:t>地下防水工程质量验收规范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GB50208-2011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Times New Roman" w:eastAsia="宋体" w:cs="Times New Roman"/>
                <w:spacing w:val="0"/>
                <w:kern w:val="2"/>
                <w:sz w:val="21"/>
                <w:szCs w:val="21"/>
                <w:lang w:val="en-US" w:eastAsia="zh-CN" w:bidi="ar-SA"/>
              </w:rPr>
            </w:pPr>
            <w:r>
              <w:rPr>
                <w:rFonts w:hint="eastAsia"/>
                <w:spacing w:val="0"/>
                <w:sz w:val="21"/>
                <w:szCs w:val="21"/>
                <w:lang w:eastAsia="zh-CN"/>
              </w:rPr>
              <w:t>《安全防范工程通用规范》</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sz w:val="21"/>
                <w:szCs w:val="21"/>
              </w:rPr>
              <w:t>GB55029-2022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Times New Roman" w:eastAsia="宋体" w:cs="Times New Roman"/>
                <w:spacing w:val="0"/>
                <w:kern w:val="2"/>
                <w:sz w:val="21"/>
                <w:szCs w:val="21"/>
                <w:lang w:val="en-US" w:eastAsia="zh-CN" w:bidi="ar-SA"/>
              </w:rPr>
            </w:pPr>
            <w:r>
              <w:rPr>
                <w:rFonts w:hint="eastAsia"/>
                <w:spacing w:val="0"/>
                <w:sz w:val="21"/>
                <w:szCs w:val="21"/>
                <w:lang w:eastAsia="zh-CN"/>
              </w:rPr>
              <w:t>《施工现场消防安全技术规范》</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sz w:val="21"/>
                <w:szCs w:val="21"/>
              </w:rPr>
              <w:t>GB50720-2011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18</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Times New Roman" w:eastAsia="宋体" w:cs="Times New Roman"/>
                <w:spacing w:val="0"/>
                <w:kern w:val="2"/>
                <w:sz w:val="21"/>
                <w:szCs w:val="21"/>
                <w:lang w:val="en-US" w:eastAsia="zh-CN" w:bidi="ar-SA"/>
              </w:rPr>
            </w:pPr>
            <w:r>
              <w:rPr>
                <w:rFonts w:hint="eastAsia"/>
                <w:spacing w:val="0"/>
                <w:sz w:val="21"/>
                <w:szCs w:val="21"/>
                <w:lang w:eastAsia="zh-CN"/>
              </w:rPr>
              <w:t>《施工脚手架通用规范》</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sz w:val="21"/>
                <w:szCs w:val="21"/>
                <w:lang w:eastAsia="zh-CN"/>
              </w:rPr>
              <w:t>GB55023-2022</w:t>
            </w:r>
          </w:p>
        </w:tc>
      </w:tr>
      <w:tr>
        <w:trPr>
          <w:trHeight w:val="456"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19</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建筑给排水及采暖工程施工质量验收规范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GB50242-2002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20</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pacing w:val="0"/>
                <w:sz w:val="21"/>
                <w:szCs w:val="21"/>
              </w:rPr>
              <w:t>给排水管道工程施工及验收规范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GB50268-2008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21</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pacing w:val="0"/>
                <w:sz w:val="21"/>
                <w:szCs w:val="21"/>
              </w:rPr>
              <w:t>自动喷水灭火系统施工及验收规范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GB50261-2017</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22</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pacing w:val="0"/>
                <w:sz w:val="21"/>
                <w:szCs w:val="21"/>
              </w:rPr>
              <w:t>建筑电气工程施工质量验收规范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GB50303-2015</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pacing w:val="0"/>
                <w:sz w:val="21"/>
                <w:szCs w:val="21"/>
              </w:rPr>
              <w:t>火灾自动报警系统施工及验收规范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GB50166-2019</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24</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pacing w:val="0"/>
                <w:sz w:val="21"/>
                <w:szCs w:val="21"/>
              </w:rPr>
              <w:t>通风与空调工程施工质量验收规范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GB50243-2016</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25</w:t>
            </w:r>
          </w:p>
        </w:tc>
        <w:tc>
          <w:tcPr>
            <w:tcW w:w="697" w:type="pct"/>
            <w:vMerge w:val="restar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cs="宋体"/>
                <w:color w:val="000000"/>
                <w:kern w:val="0"/>
                <w:sz w:val="21"/>
                <w:szCs w:val="21"/>
              </w:rPr>
              <w:t>行业标准</w:t>
            </w: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建筑施工模板安全技术规范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JGJ162-2008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建筑施工扣件式钢管脚手架安全技术规程</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JGJ130-2011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color w:val="auto"/>
                <w:spacing w:val="0"/>
                <w:sz w:val="21"/>
                <w:szCs w:val="21"/>
                <w:lang w:eastAsia="zh-CN"/>
              </w:rPr>
              <w:t>建筑桩基技术规范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color w:val="auto"/>
                <w:spacing w:val="0"/>
                <w:sz w:val="21"/>
                <w:szCs w:val="21"/>
                <w:lang w:val="en-US" w:eastAsia="zh-CN"/>
              </w:rPr>
              <w:t>JGJ94-2008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28</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jc w:val="left"/>
              <w:textAlignment w:val="auto"/>
              <w:rPr>
                <w:rFonts w:hint="eastAsia" w:ascii="Times New Roman" w:hAnsi="Times New Roman" w:eastAsia="宋体" w:cs="Times New Roman"/>
                <w:spacing w:val="0"/>
                <w:kern w:val="2"/>
                <w:sz w:val="21"/>
                <w:szCs w:val="21"/>
                <w:lang w:val="en-US" w:eastAsia="zh-CN" w:bidi="ar-SA"/>
              </w:rPr>
            </w:pPr>
            <w:r>
              <w:rPr>
                <w:rFonts w:hint="eastAsia" w:ascii="宋体" w:hAnsi="Times New Roman" w:eastAsia="宋体" w:cs="Times New Roman"/>
                <w:spacing w:val="0"/>
                <w:kern w:val="2"/>
                <w:sz w:val="21"/>
                <w:szCs w:val="21"/>
                <w:lang w:val="en-US" w:eastAsia="zh-CN" w:bidi="ar-SA"/>
              </w:rPr>
              <w:t>《</w:t>
            </w:r>
            <w:r>
              <w:rPr>
                <w:rFonts w:ascii="宋体" w:hAnsi="Times New Roman" w:eastAsia="宋体" w:cs="Times New Roman"/>
                <w:spacing w:val="0"/>
                <w:kern w:val="2"/>
                <w:sz w:val="21"/>
                <w:szCs w:val="21"/>
                <w:lang w:val="en-US" w:eastAsia="zh-CN" w:bidi="ar-SA"/>
              </w:rPr>
              <w:t>建</w:t>
            </w:r>
            <w:r>
              <w:rPr>
                <w:rFonts w:hint="default" w:ascii="宋体" w:hAnsi="Times New Roman" w:eastAsia="宋体" w:cs="Times New Roman"/>
                <w:spacing w:val="0"/>
                <w:kern w:val="2"/>
                <w:sz w:val="21"/>
                <w:szCs w:val="21"/>
                <w:lang w:val="en-US" w:eastAsia="zh-CN" w:bidi="ar-SA"/>
              </w:rPr>
              <w:t>筑施工承插型盘扣式钢管脚手架安全技术标准</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sz w:val="21"/>
                <w:szCs w:val="21"/>
              </w:rPr>
              <w:t>JGJ</w:t>
            </w:r>
            <w:r>
              <w:rPr>
                <w:rFonts w:hint="eastAsia" w:ascii="宋体" w:hAnsi="宋体" w:eastAsia="宋体" w:cs="宋体"/>
                <w:spacing w:val="0"/>
                <w:sz w:val="21"/>
                <w:szCs w:val="21"/>
                <w:lang w:val="en-US" w:eastAsia="zh-CN"/>
              </w:rPr>
              <w:t>/T231</w:t>
            </w:r>
            <w:r>
              <w:rPr>
                <w:rFonts w:hint="eastAsia" w:ascii="宋体" w:hAnsi="宋体" w:eastAsia="宋体" w:cs="宋体"/>
                <w:spacing w:val="0"/>
                <w:sz w:val="21"/>
                <w:szCs w:val="21"/>
              </w:rPr>
              <w:t>-20</w:t>
            </w:r>
            <w:r>
              <w:rPr>
                <w:rFonts w:hint="eastAsia" w:ascii="宋体" w:hAnsi="宋体" w:eastAsia="宋体" w:cs="宋体"/>
                <w:spacing w:val="0"/>
                <w:sz w:val="21"/>
                <w:szCs w:val="21"/>
                <w:lang w:val="en-US" w:eastAsia="zh-CN"/>
              </w:rPr>
              <w:t>21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29</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color w:val="auto"/>
                <w:spacing w:val="0"/>
                <w:sz w:val="21"/>
                <w:szCs w:val="21"/>
              </w:rPr>
              <w:t>建筑机械使用安全技术规程</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color w:val="auto"/>
                <w:spacing w:val="0"/>
                <w:sz w:val="21"/>
                <w:szCs w:val="21"/>
              </w:rPr>
              <w:t>JGJ33-2012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30</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spacing w:val="0"/>
                <w:sz w:val="21"/>
                <w:szCs w:val="21"/>
              </w:rPr>
              <w:t>建筑施工安全检查标准</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JGJ59-2011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31</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建筑与市政工程施工现场临时用电安全技术标准</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JGJ46-20</w:t>
            </w:r>
            <w:r>
              <w:rPr>
                <w:rFonts w:hint="eastAsia" w:ascii="宋体" w:hAnsi="宋体" w:cs="宋体"/>
                <w:spacing w:val="0"/>
                <w:sz w:val="21"/>
                <w:szCs w:val="21"/>
                <w:lang w:val="en-US" w:eastAsia="zh-CN"/>
              </w:rPr>
              <w:t>24</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32</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建筑施工高处作业安全技术规程</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JGJ80-2016</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建筑排水硬聚氯乙烯管道工程技术规程</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CJJ/T29-2010</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34</w:t>
            </w:r>
          </w:p>
        </w:tc>
        <w:tc>
          <w:tcPr>
            <w:tcW w:w="697" w:type="pct"/>
            <w:vMerge w:val="restar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地方标准</w:t>
            </w: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color w:val="auto"/>
                <w:spacing w:val="-6"/>
                <w:kern w:val="2"/>
                <w:sz w:val="21"/>
                <w:szCs w:val="21"/>
                <w:highlight w:val="none"/>
                <w:lang w:val="en-US" w:eastAsia="zh-CN" w:bidi="ar-SA"/>
              </w:rPr>
            </w:pPr>
            <w:r>
              <w:rPr>
                <w:rFonts w:hint="eastAsia" w:ascii="宋体" w:hAnsi="宋体" w:eastAsia="宋体"/>
                <w:color w:val="auto"/>
                <w:sz w:val="21"/>
                <w:szCs w:val="21"/>
                <w:highlight w:val="none"/>
                <w:lang w:eastAsia="zh-CN"/>
              </w:rPr>
              <w:t>《</w:t>
            </w:r>
            <w:r>
              <w:rPr>
                <w:rFonts w:hint="eastAsia"/>
                <w:spacing w:val="0"/>
                <w:sz w:val="21"/>
                <w:szCs w:val="21"/>
              </w:rPr>
              <w:t>宁波市建筑桩基设计与施工</w:t>
            </w:r>
            <w:r>
              <w:rPr>
                <w:rFonts w:hint="eastAsia"/>
                <w:spacing w:val="0"/>
                <w:sz w:val="21"/>
                <w:szCs w:val="21"/>
                <w:lang w:eastAsia="zh-CN"/>
              </w:rPr>
              <w:t>技术</w:t>
            </w:r>
            <w:r>
              <w:rPr>
                <w:rFonts w:hint="eastAsia"/>
                <w:spacing w:val="0"/>
                <w:sz w:val="21"/>
                <w:szCs w:val="21"/>
              </w:rPr>
              <w:t>细则</w:t>
            </w:r>
            <w:r>
              <w:rPr>
                <w:rFonts w:hint="eastAsia" w:ascii="宋体" w:hAnsi="宋体" w:eastAsia="宋体"/>
                <w:color w:val="auto"/>
                <w:sz w:val="21"/>
                <w:szCs w:val="21"/>
                <w:highlight w:val="none"/>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pacing w:val="0"/>
                <w:sz w:val="21"/>
                <w:szCs w:val="21"/>
              </w:rPr>
              <w:t>20</w:t>
            </w:r>
            <w:r>
              <w:rPr>
                <w:rFonts w:hint="eastAsia" w:ascii="宋体" w:hAnsi="宋体" w:eastAsia="宋体" w:cs="宋体"/>
                <w:spacing w:val="0"/>
                <w:sz w:val="21"/>
                <w:szCs w:val="21"/>
                <w:lang w:val="en-US" w:eastAsia="zh-CN"/>
              </w:rPr>
              <w:t>17</w:t>
            </w:r>
            <w:r>
              <w:rPr>
                <w:rFonts w:hint="eastAsia" w:ascii="宋体" w:hAnsi="宋体" w:eastAsia="宋体" w:cs="宋体"/>
                <w:spacing w:val="0"/>
                <w:sz w:val="21"/>
                <w:szCs w:val="21"/>
              </w:rPr>
              <w:t>甬</w:t>
            </w:r>
            <w:r>
              <w:rPr>
                <w:rFonts w:hint="eastAsia" w:ascii="宋体" w:hAnsi="宋体" w:eastAsia="宋体" w:cs="宋体"/>
                <w:spacing w:val="0"/>
                <w:sz w:val="21"/>
                <w:szCs w:val="21"/>
                <w:lang w:val="en-US" w:eastAsia="zh-CN"/>
              </w:rPr>
              <w:t>SS-01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35</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numPr>
                <w:ilvl w:val="0"/>
                <w:numId w:val="0"/>
              </w:numPr>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color w:val="auto"/>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建筑地基基础设计规范</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spacing w:val="0"/>
                <w:sz w:val="21"/>
                <w:szCs w:val="21"/>
              </w:rPr>
              <w:t>DB33/T1136-2017</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36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Times New Roman" w:eastAsia="宋体" w:cs="Times New Roman"/>
                <w:spacing w:val="0"/>
                <w:kern w:val="2"/>
                <w:sz w:val="21"/>
                <w:szCs w:val="21"/>
                <w:lang w:val="en-US" w:eastAsia="zh-CN" w:bidi="ar-SA"/>
              </w:rPr>
            </w:pPr>
            <w:r>
              <w:rPr>
                <w:rFonts w:hint="eastAsia"/>
                <w:spacing w:val="0"/>
                <w:sz w:val="21"/>
                <w:szCs w:val="21"/>
                <w:lang w:eastAsia="zh-CN"/>
              </w:rPr>
              <w:t>《建筑施工安全管理规范》</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sz w:val="21"/>
                <w:szCs w:val="21"/>
              </w:rPr>
              <w:t>DB33-1116-2015</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color w:val="auto"/>
                <w:spacing w:val="0"/>
                <w:sz w:val="21"/>
                <w:szCs w:val="21"/>
                <w:lang w:val="en-US" w:eastAsia="zh-CN"/>
              </w:rPr>
              <w:t>宁波市建筑基坑工程技术细则</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color w:val="auto"/>
                <w:spacing w:val="0"/>
                <w:sz w:val="21"/>
                <w:szCs w:val="21"/>
                <w:lang w:val="en-US" w:eastAsia="zh-CN"/>
              </w:rPr>
              <w:t>2019甬DX-06</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38</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z w:val="21"/>
                <w:szCs w:val="21"/>
              </w:rPr>
              <w:t>宁波市绿色建筑设计实施细则</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pacing w:val="0"/>
                <w:sz w:val="21"/>
                <w:szCs w:val="21"/>
              </w:rPr>
              <w:t>20</w:t>
            </w:r>
            <w:r>
              <w:rPr>
                <w:rFonts w:hint="eastAsia" w:ascii="宋体" w:hAnsi="宋体" w:eastAsia="宋体" w:cs="宋体"/>
                <w:spacing w:val="0"/>
                <w:sz w:val="21"/>
                <w:szCs w:val="21"/>
                <w:lang w:val="en-US" w:eastAsia="zh-CN"/>
              </w:rPr>
              <w:t>16</w:t>
            </w:r>
            <w:r>
              <w:rPr>
                <w:rFonts w:hint="eastAsia" w:ascii="宋体" w:hAnsi="宋体" w:eastAsia="宋体" w:cs="宋体"/>
                <w:spacing w:val="0"/>
                <w:sz w:val="21"/>
                <w:szCs w:val="21"/>
              </w:rPr>
              <w:t>甬</w:t>
            </w:r>
            <w:r>
              <w:rPr>
                <w:rFonts w:hint="eastAsia" w:ascii="宋体" w:hAnsi="宋体" w:eastAsia="宋体" w:cs="宋体"/>
                <w:spacing w:val="0"/>
                <w:sz w:val="21"/>
                <w:szCs w:val="21"/>
                <w:lang w:val="en-US" w:eastAsia="zh-CN"/>
              </w:rPr>
              <w:t>SS-01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39</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Times New Roman"/>
                <w:b w:val="0"/>
                <w:bCs/>
                <w:spacing w:val="-6"/>
                <w:kern w:val="2"/>
                <w:sz w:val="21"/>
                <w:szCs w:val="21"/>
                <w:lang w:val="en-US" w:eastAsia="zh-CN" w:bidi="ar-SA"/>
              </w:rPr>
            </w:pPr>
            <w:r>
              <w:rPr>
                <w:rFonts w:hint="eastAsia"/>
                <w:spacing w:val="0"/>
                <w:sz w:val="21"/>
                <w:szCs w:val="21"/>
                <w:lang w:eastAsia="zh-CN"/>
              </w:rPr>
              <w:t>《</w:t>
            </w:r>
            <w:r>
              <w:rPr>
                <w:rFonts w:hint="eastAsia"/>
                <w:spacing w:val="0"/>
                <w:sz w:val="21"/>
                <w:szCs w:val="21"/>
              </w:rPr>
              <w:t>建筑施工扣件式钢管模板支架技术规程</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 w:val="0"/>
                <w:bCs/>
                <w:kern w:val="2"/>
                <w:sz w:val="21"/>
                <w:szCs w:val="21"/>
                <w:lang w:val="en-US" w:eastAsia="zh-CN" w:bidi="ar-SA"/>
              </w:rPr>
            </w:pPr>
            <w:r>
              <w:rPr>
                <w:rFonts w:hint="eastAsia" w:ascii="宋体" w:hAnsi="宋体" w:eastAsia="宋体" w:cs="宋体"/>
                <w:spacing w:val="0"/>
                <w:sz w:val="21"/>
                <w:szCs w:val="21"/>
              </w:rPr>
              <w:t>DB33/1035-2018</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40</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spacing w:val="0"/>
                <w:sz w:val="21"/>
                <w:szCs w:val="21"/>
                <w:lang w:eastAsia="zh-CN"/>
              </w:rPr>
            </w:pPr>
            <w:r>
              <w:rPr>
                <w:rFonts w:hint="eastAsia"/>
                <w:spacing w:val="0"/>
                <w:sz w:val="21"/>
                <w:szCs w:val="21"/>
                <w:lang w:eastAsia="zh-CN"/>
              </w:rPr>
              <w:t>《建筑施工拉杆式悬挑脚手架安全技术规程》</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spacing w:val="0"/>
                <w:sz w:val="21"/>
                <w:szCs w:val="21"/>
                <w:lang w:val="en-US"/>
              </w:rPr>
            </w:pPr>
            <w:r>
              <w:rPr>
                <w:rFonts w:hint="eastAsia"/>
                <w:spacing w:val="0"/>
                <w:sz w:val="21"/>
                <w:szCs w:val="21"/>
                <w:lang w:eastAsia="zh-CN"/>
              </w:rPr>
              <w:t>DBJ 33</w:t>
            </w:r>
            <w:r>
              <w:rPr>
                <w:rFonts w:hint="eastAsia"/>
                <w:spacing w:val="0"/>
                <w:sz w:val="21"/>
                <w:szCs w:val="21"/>
                <w:lang w:val="en-US" w:eastAsia="zh-CN"/>
              </w:rPr>
              <w:t>/</w:t>
            </w:r>
            <w:r>
              <w:rPr>
                <w:rFonts w:hint="eastAsia"/>
                <w:spacing w:val="0"/>
                <w:sz w:val="21"/>
                <w:szCs w:val="21"/>
                <w:lang w:eastAsia="zh-CN"/>
              </w:rPr>
              <w:t>T 1321</w:t>
            </w:r>
            <w:r>
              <w:rPr>
                <w:rFonts w:hint="eastAsia"/>
                <w:spacing w:val="0"/>
                <w:sz w:val="21"/>
                <w:szCs w:val="21"/>
                <w:lang w:val="en-US" w:eastAsia="zh-CN"/>
              </w:rPr>
              <w:t>-2024</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41</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color w:val="auto"/>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pacing w:val="0"/>
                <w:sz w:val="21"/>
                <w:szCs w:val="21"/>
              </w:rPr>
            </w:pPr>
            <w:r>
              <w:rPr>
                <w:rFonts w:hint="eastAsia"/>
                <w:spacing w:val="0"/>
                <w:sz w:val="21"/>
                <w:szCs w:val="21"/>
                <w:lang w:eastAsia="zh-CN"/>
              </w:rPr>
              <w:t>《</w:t>
            </w:r>
            <w:r>
              <w:rPr>
                <w:rFonts w:hint="eastAsia"/>
                <w:color w:val="auto"/>
                <w:spacing w:val="0"/>
                <w:sz w:val="21"/>
                <w:szCs w:val="21"/>
              </w:rPr>
              <w:t>宁波市软土深基坑支护设计与施工暂行技术规程</w:t>
            </w:r>
            <w:r>
              <w:rPr>
                <w:rFonts w:hint="eastAsia"/>
                <w:spacing w:val="0"/>
                <w:sz w:val="21"/>
                <w:szCs w:val="21"/>
                <w:lang w:eastAsia="zh-CN"/>
              </w:rPr>
              <w:t>》</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42</w:t>
            </w:r>
          </w:p>
        </w:tc>
        <w:tc>
          <w:tcPr>
            <w:tcW w:w="697" w:type="pct"/>
            <w:vMerge w:val="restar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图集</w:t>
            </w: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《预应力离心混凝土空心方桩》</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b w:val="0"/>
                <w:bCs/>
                <w:kern w:val="2"/>
                <w:sz w:val="21"/>
                <w:szCs w:val="21"/>
                <w:lang w:val="en-US" w:eastAsia="zh-CN" w:bidi="ar-SA"/>
              </w:rPr>
            </w:pPr>
            <w:r>
              <w:rPr>
                <w:rFonts w:hint="eastAsia" w:ascii="宋体" w:hAnsi="宋体" w:cs="宋体"/>
                <w:color w:val="auto"/>
                <w:spacing w:val="0"/>
                <w:sz w:val="21"/>
                <w:szCs w:val="21"/>
                <w:lang w:val="en-US" w:eastAsia="zh-CN"/>
              </w:rPr>
              <w:t>2013浙G35</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spacing w:val="0"/>
                <w:sz w:val="21"/>
                <w:szCs w:val="21"/>
                <w:lang w:eastAsia="zh-CN"/>
              </w:rPr>
            </w:pPr>
            <w:r>
              <w:rPr>
                <w:rFonts w:hint="eastAsia" w:ascii="宋体" w:hAnsi="宋体" w:cs="宋体"/>
                <w:color w:val="auto"/>
                <w:spacing w:val="0"/>
                <w:sz w:val="21"/>
                <w:szCs w:val="21"/>
                <w:lang w:val="en-US" w:eastAsia="zh-CN"/>
              </w:rPr>
              <w:t>《钢筋平法图集》</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pacing w:val="0"/>
                <w:sz w:val="21"/>
                <w:szCs w:val="21"/>
                <w:lang w:val="en-US" w:eastAsia="zh-CN"/>
              </w:rPr>
            </w:pPr>
            <w:r>
              <w:rPr>
                <w:rFonts w:hint="eastAsia" w:ascii="宋体" w:hAnsi="宋体" w:cs="宋体"/>
                <w:color w:val="auto"/>
                <w:spacing w:val="0"/>
                <w:sz w:val="21"/>
                <w:szCs w:val="21"/>
                <w:lang w:val="en-US" w:eastAsia="zh-CN"/>
              </w:rPr>
              <w:t>22G101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44</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《地下建筑防水构造》图集</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cs="宋体"/>
                <w:snapToGrid/>
                <w:color w:val="000000"/>
                <w:spacing w:val="0"/>
                <w:kern w:val="2"/>
                <w:sz w:val="21"/>
                <w:szCs w:val="21"/>
                <w:lang w:val="en-US" w:eastAsia="zh-CN" w:bidi="ar-SA"/>
              </w:rPr>
              <w:t>10J301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45</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w:t>
            </w:r>
            <w:r>
              <w:rPr>
                <w:rFonts w:hint="default" w:ascii="宋体" w:hAnsi="宋体" w:eastAsia="宋体" w:cs="宋体"/>
                <w:snapToGrid/>
                <w:color w:val="000000"/>
                <w:spacing w:val="0"/>
                <w:kern w:val="2"/>
                <w:sz w:val="21"/>
                <w:szCs w:val="21"/>
                <w:lang w:val="en-US" w:eastAsia="zh-CN" w:bidi="ar-SA"/>
              </w:rPr>
              <w:t>外墙内保温建筑构造</w:t>
            </w:r>
            <w:r>
              <w:rPr>
                <w:rFonts w:hint="eastAsia" w:hAnsi="宋体" w:cs="宋体"/>
                <w:snapToGrid/>
                <w:color w:val="000000"/>
                <w:spacing w:val="0"/>
                <w:kern w:val="2"/>
                <w:sz w:val="21"/>
                <w:szCs w:val="21"/>
                <w:lang w:val="en-US" w:eastAsia="zh-CN" w:bidi="ar-SA"/>
              </w:rPr>
              <w:t>》图集</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cs="宋体"/>
                <w:snapToGrid/>
                <w:color w:val="000000"/>
                <w:spacing w:val="0"/>
                <w:kern w:val="2"/>
                <w:sz w:val="21"/>
                <w:szCs w:val="21"/>
                <w:lang w:val="en-US" w:eastAsia="zh-CN" w:bidi="ar-SA"/>
              </w:rPr>
              <w:t>11J122</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《平屋面建筑构造》图集</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napToGrid/>
                <w:color w:val="000000"/>
                <w:spacing w:val="0"/>
                <w:kern w:val="2"/>
                <w:sz w:val="21"/>
                <w:szCs w:val="21"/>
                <w:lang w:val="en-US" w:eastAsia="zh-CN" w:bidi="ar-SA"/>
              </w:rPr>
              <w:t>12J201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《混凝土结构施工钢筋排布规则与构造详图》</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napToGrid/>
                <w:color w:val="000000"/>
                <w:spacing w:val="0"/>
                <w:kern w:val="2"/>
                <w:sz w:val="21"/>
                <w:szCs w:val="21"/>
                <w:lang w:val="en-US" w:eastAsia="zh-CN" w:bidi="ar-SA"/>
              </w:rPr>
              <w:t>12G901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48</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《蒸压加气混凝土砌块、板材构造》图集</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napToGrid/>
                <w:color w:val="000000"/>
                <w:spacing w:val="0"/>
                <w:kern w:val="2"/>
                <w:sz w:val="21"/>
                <w:szCs w:val="21"/>
                <w:lang w:val="en-US" w:eastAsia="zh-CN" w:bidi="ar-SA"/>
              </w:rPr>
              <w:t>13J104</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49</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hAnsi="宋体" w:cs="宋体"/>
                <w:snapToGrid/>
                <w:color w:val="000000"/>
                <w:spacing w:val="0"/>
                <w:kern w:val="2"/>
                <w:sz w:val="21"/>
                <w:szCs w:val="21"/>
                <w:lang w:val="en-US" w:eastAsia="zh-CN" w:bidi="ar-SA"/>
              </w:rPr>
              <w:t>《保温陶粒砌块建筑构造》图集</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napToGrid/>
                <w:color w:val="000000"/>
                <w:spacing w:val="0"/>
                <w:kern w:val="2"/>
                <w:sz w:val="21"/>
                <w:szCs w:val="21"/>
                <w:lang w:val="en-US" w:eastAsia="zh-CN" w:bidi="ar-SA"/>
              </w:rPr>
              <w:t>2012甬J01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50</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Times New Roman" w:eastAsia="宋体" w:cs="Times New Roman"/>
                <w:spacing w:val="0"/>
                <w:kern w:val="2"/>
                <w:sz w:val="21"/>
                <w:szCs w:val="21"/>
                <w:lang w:val="en-US" w:eastAsia="zh-CN" w:bidi="ar-SA"/>
              </w:rPr>
            </w:pPr>
            <w:r>
              <w:rPr>
                <w:rFonts w:hint="eastAsia"/>
                <w:spacing w:val="0"/>
                <w:sz w:val="21"/>
                <w:szCs w:val="21"/>
                <w:lang w:eastAsia="zh-CN"/>
              </w:rPr>
              <w:t>宁波市蒸压加气混凝土砌块构造详图</w:t>
            </w:r>
          </w:p>
        </w:tc>
        <w:tc>
          <w:tcPr>
            <w:tcW w:w="1104" w:type="pct"/>
            <w:shd w:val="clear" w:color="auto" w:fill="auto"/>
            <w:noWrap w:val="0"/>
            <w:vAlign w:val="center"/>
          </w:tcPr>
          <w:p>
            <w:pPr>
              <w:pStyle w:val="22"/>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napToGrid/>
                <w:color w:val="000000"/>
                <w:spacing w:val="0"/>
                <w:kern w:val="2"/>
                <w:sz w:val="21"/>
                <w:szCs w:val="21"/>
                <w:lang w:val="en-US" w:eastAsia="zh-CN" w:bidi="ar-SA"/>
              </w:rPr>
              <w:t>201</w:t>
            </w:r>
            <w:r>
              <w:rPr>
                <w:rFonts w:hint="eastAsia" w:ascii="宋体" w:hAnsi="宋体" w:cs="宋体"/>
                <w:snapToGrid/>
                <w:color w:val="000000"/>
                <w:spacing w:val="0"/>
                <w:kern w:val="2"/>
                <w:sz w:val="21"/>
                <w:szCs w:val="21"/>
                <w:lang w:val="en-US" w:eastAsia="zh-CN" w:bidi="ar-SA"/>
              </w:rPr>
              <w:t>3</w:t>
            </w:r>
            <w:r>
              <w:rPr>
                <w:rFonts w:hint="eastAsia" w:ascii="宋体" w:hAnsi="宋体" w:eastAsia="宋体" w:cs="宋体"/>
                <w:snapToGrid/>
                <w:color w:val="000000"/>
                <w:spacing w:val="0"/>
                <w:kern w:val="2"/>
                <w:sz w:val="21"/>
                <w:szCs w:val="21"/>
                <w:lang w:val="en-US" w:eastAsia="zh-CN" w:bidi="ar-SA"/>
              </w:rPr>
              <w:t>甬J01</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51</w:t>
            </w:r>
          </w:p>
        </w:tc>
        <w:tc>
          <w:tcPr>
            <w:tcW w:w="697" w:type="pct"/>
            <w:vMerge w:val="restar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其他文件</w:t>
            </w: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Times New Roman" w:eastAsia="宋体" w:cs="Times New Roman"/>
                <w:spacing w:val="0"/>
                <w:sz w:val="21"/>
                <w:szCs w:val="21"/>
                <w:lang w:val="en-US" w:eastAsia="zh-CN"/>
              </w:rPr>
              <w:t>宁波市住房和城乡建设局关于印发《宁波市</w:t>
            </w:r>
            <w:r>
              <w:rPr>
                <w:rFonts w:hint="default" w:ascii="宋体" w:hAnsi="Times New Roman" w:eastAsia="宋体" w:cs="Times New Roman"/>
                <w:spacing w:val="0"/>
                <w:sz w:val="21"/>
                <w:szCs w:val="21"/>
                <w:lang w:val="en-US" w:eastAsia="zh-CN"/>
              </w:rPr>
              <w:t>房屋建筑工程安全文明施工提升标准》的通知</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0"/>
                <w:sz w:val="21"/>
                <w:szCs w:val="21"/>
                <w:lang w:val="en-US" w:eastAsia="zh-CN"/>
              </w:rPr>
              <w:t>甬建发</w:t>
            </w:r>
            <w:r>
              <w:rPr>
                <w:rFonts w:hint="eastAsia" w:hAnsi="宋体" w:cs="宋体"/>
                <w:color w:val="auto"/>
                <w:spacing w:val="0"/>
                <w:sz w:val="21"/>
                <w:szCs w:val="21"/>
                <w:lang w:val="en-US" w:eastAsia="zh-CN"/>
              </w:rPr>
              <w:t>〔</w:t>
            </w:r>
            <w:r>
              <w:rPr>
                <w:rFonts w:hint="eastAsia" w:ascii="宋体" w:hAnsi="宋体" w:eastAsia="宋体" w:cs="宋体"/>
                <w:color w:val="auto"/>
                <w:spacing w:val="0"/>
                <w:sz w:val="21"/>
                <w:szCs w:val="21"/>
                <w:lang w:val="en-US" w:eastAsia="zh-CN"/>
              </w:rPr>
              <w:t>2021</w:t>
            </w:r>
            <w:r>
              <w:rPr>
                <w:rFonts w:hint="eastAsia" w:hAnsi="宋体" w:cs="宋体"/>
                <w:color w:val="auto"/>
                <w:spacing w:val="0"/>
                <w:sz w:val="21"/>
                <w:szCs w:val="21"/>
                <w:lang w:val="en-US" w:eastAsia="zh-CN"/>
              </w:rPr>
              <w:t>〕</w:t>
            </w:r>
            <w:r>
              <w:rPr>
                <w:rFonts w:hint="eastAsia" w:ascii="宋体" w:hAnsi="宋体" w:eastAsia="宋体" w:cs="宋体"/>
                <w:color w:val="auto"/>
                <w:spacing w:val="0"/>
                <w:sz w:val="21"/>
                <w:szCs w:val="21"/>
                <w:lang w:val="en-US" w:eastAsia="zh-CN"/>
              </w:rPr>
              <w:t>69号文</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52</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宋体" w:hAnsi="Times New Roman" w:eastAsia="宋体" w:cs="Times New Roman"/>
                <w:spacing w:val="0"/>
                <w:kern w:val="2"/>
                <w:sz w:val="21"/>
                <w:szCs w:val="21"/>
                <w:lang w:val="en-US" w:eastAsia="zh-CN" w:bidi="ar-SA"/>
              </w:rPr>
            </w:pPr>
            <w:r>
              <w:rPr>
                <w:rFonts w:hint="eastAsia" w:ascii="宋体" w:hAnsi="Times New Roman" w:eastAsia="宋体" w:cs="Times New Roman"/>
                <w:spacing w:val="0"/>
                <w:sz w:val="21"/>
                <w:szCs w:val="21"/>
                <w:lang w:val="en-US" w:eastAsia="zh-CN"/>
              </w:rPr>
              <w:t>宁波市住建局关于进一步加强建筑起重机械安全管理的若干措施（试行）</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Times New Roman" w:eastAsia="宋体" w:cs="Times New Roman"/>
                <w:spacing w:val="0"/>
                <w:sz w:val="21"/>
                <w:szCs w:val="21"/>
                <w:lang w:val="en-US" w:eastAsia="zh-CN"/>
              </w:rPr>
              <w:t>甬建发</w:t>
            </w:r>
            <w:r>
              <w:rPr>
                <w:rFonts w:hint="eastAsia" w:ascii="宋体" w:hAnsi="Times New Roman" w:cs="Times New Roman"/>
                <w:spacing w:val="0"/>
                <w:sz w:val="21"/>
                <w:szCs w:val="21"/>
                <w:lang w:val="en-US" w:eastAsia="zh-CN"/>
              </w:rPr>
              <w:t>（</w:t>
            </w:r>
            <w:r>
              <w:rPr>
                <w:rFonts w:hint="eastAsia" w:ascii="宋体" w:hAnsi="Times New Roman" w:eastAsia="宋体" w:cs="Times New Roman"/>
                <w:spacing w:val="0"/>
                <w:sz w:val="21"/>
                <w:szCs w:val="21"/>
                <w:lang w:val="en-US" w:eastAsia="zh-CN"/>
              </w:rPr>
              <w:t>2022）48号</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53</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2803" w:type="pct"/>
            <w:shd w:val="clear" w:color="auto" w:fill="auto"/>
            <w:noWrap w:val="0"/>
            <w:vAlign w:val="center"/>
          </w:tcPr>
          <w:p>
            <w:pPr>
              <w:pStyle w:val="86"/>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left"/>
              <w:textAlignment w:val="auto"/>
              <w:rPr>
                <w:rFonts w:hint="default" w:ascii="宋体" w:hAnsi="宋体" w:eastAsia="宋体" w:cs="宋体"/>
                <w:snapToGrid/>
                <w:color w:val="000000"/>
                <w:spacing w:val="0"/>
                <w:kern w:val="2"/>
                <w:sz w:val="21"/>
                <w:szCs w:val="21"/>
                <w:lang w:val="en-US" w:eastAsia="zh-CN" w:bidi="ar-SA"/>
              </w:rPr>
            </w:pPr>
            <w:r>
              <w:rPr>
                <w:rFonts w:hint="eastAsia"/>
                <w:spacing w:val="0"/>
                <w:sz w:val="21"/>
                <w:szCs w:val="21"/>
                <w:lang w:eastAsia="zh-CN"/>
              </w:rPr>
              <w:t>《</w:t>
            </w:r>
            <w:r>
              <w:rPr>
                <w:rFonts w:hint="eastAsia"/>
                <w:sz w:val="21"/>
                <w:szCs w:val="21"/>
              </w:rPr>
              <w:t>工程建设标准强制性条文（房屋建筑部分）</w:t>
            </w:r>
            <w:r>
              <w:rPr>
                <w:rFonts w:hint="eastAsia"/>
                <w:spacing w:val="0"/>
                <w:sz w:val="21"/>
                <w:szCs w:val="21"/>
                <w:lang w:eastAsia="zh-CN"/>
              </w:rPr>
              <w:t>》</w:t>
            </w:r>
          </w:p>
        </w:tc>
        <w:tc>
          <w:tcPr>
            <w:tcW w:w="1104"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s="宋体"/>
                <w:sz w:val="21"/>
                <w:szCs w:val="21"/>
              </w:rPr>
              <w:t>2013年版</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54</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pacing w:val="0"/>
                <w:sz w:val="21"/>
                <w:szCs w:val="21"/>
                <w:lang w:eastAsia="zh-CN"/>
              </w:rPr>
              <w:t>建筑工程质量通病防治手册（第三版）</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55</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z w:val="21"/>
                <w:szCs w:val="21"/>
              </w:rPr>
              <w:t>建设单位提供的施工图纸</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56</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sz w:val="21"/>
                <w:szCs w:val="21"/>
                <w:lang w:eastAsia="zh-CN"/>
              </w:rPr>
              <w:t>本工程</w:t>
            </w:r>
            <w:r>
              <w:rPr>
                <w:rFonts w:hint="eastAsia"/>
                <w:sz w:val="21"/>
                <w:szCs w:val="21"/>
              </w:rPr>
              <w:t>合同文件</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FF0000"/>
                <w:kern w:val="2"/>
                <w:sz w:val="21"/>
                <w:szCs w:val="21"/>
                <w:lang w:val="en-US" w:eastAsia="zh-CN" w:bidi="ar-SA"/>
              </w:rPr>
            </w:pPr>
            <w:r>
              <w:rPr>
                <w:rFonts w:hint="eastAsia" w:ascii="宋体" w:hAnsi="宋体" w:cs="宋体"/>
                <w:color w:val="auto"/>
                <w:kern w:val="2"/>
                <w:sz w:val="21"/>
                <w:szCs w:val="21"/>
                <w:lang w:val="en-US" w:eastAsia="zh-CN" w:bidi="ar-SA"/>
              </w:rPr>
              <w:t>57</w:t>
            </w: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snapToGrid/>
                <w:color w:val="000000"/>
                <w:spacing w:val="0"/>
                <w:kern w:val="2"/>
                <w:sz w:val="21"/>
                <w:szCs w:val="21"/>
                <w:lang w:val="en-US" w:eastAsia="zh-CN" w:bidi="ar-SA"/>
              </w:rPr>
            </w:pPr>
            <w:r>
              <w:rPr>
                <w:rFonts w:hint="eastAsia" w:ascii="宋体" w:hAnsi="宋体" w:eastAsia="宋体"/>
                <w:color w:val="auto"/>
                <w:sz w:val="21"/>
                <w:szCs w:val="21"/>
                <w:lang w:val="en-US" w:eastAsia="zh-CN"/>
              </w:rPr>
              <w:t>本工程招标文件要求</w:t>
            </w:r>
          </w:p>
        </w:tc>
      </w:tr>
      <w:tr>
        <w:trPr>
          <w:trHeight w:val="0" w:hRule="atLeast"/>
          <w:jc w:val="center"/>
        </w:trPr>
        <w:tc>
          <w:tcPr>
            <w:tcW w:w="395" w:type="pct"/>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default" w:ascii="宋体" w:hAnsi="宋体" w:eastAsia="宋体" w:cs="宋体"/>
                <w:color w:val="FF0000"/>
                <w:kern w:val="2"/>
                <w:sz w:val="21"/>
                <w:szCs w:val="21"/>
                <w:lang w:val="en-US" w:eastAsia="zh-CN" w:bidi="ar-SA"/>
              </w:rPr>
            </w:pPr>
          </w:p>
        </w:tc>
        <w:tc>
          <w:tcPr>
            <w:tcW w:w="697" w:type="pct"/>
            <w:vMerge w:val="continue"/>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FF0000"/>
                <w:sz w:val="21"/>
                <w:szCs w:val="21"/>
                <w:lang w:val="en-US" w:eastAsia="zh-CN"/>
              </w:rPr>
            </w:pPr>
          </w:p>
        </w:tc>
        <w:tc>
          <w:tcPr>
            <w:tcW w:w="3907" w:type="pct"/>
            <w:gridSpan w:val="2"/>
            <w:shd w:val="clear" w:color="auto" w:fill="auto"/>
            <w:noWrap w:val="0"/>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left"/>
              <w:textAlignment w:val="auto"/>
              <w:rPr>
                <w:rFonts w:hint="default" w:ascii="宋体" w:hAnsi="宋体" w:eastAsia="宋体" w:cs="宋体"/>
                <w:snapToGrid/>
                <w:color w:val="FF0000"/>
                <w:spacing w:val="0"/>
                <w:kern w:val="2"/>
                <w:sz w:val="21"/>
                <w:szCs w:val="21"/>
                <w:lang w:val="en-US" w:eastAsia="zh-CN" w:bidi="ar-SA"/>
              </w:rPr>
            </w:pPr>
            <w:r>
              <w:rPr>
                <w:rFonts w:hint="eastAsia" w:ascii="宋体" w:hAnsi="宋体" w:cs="宋体"/>
                <w:snapToGrid/>
                <w:color w:val="FF0000"/>
                <w:spacing w:val="0"/>
                <w:kern w:val="2"/>
                <w:sz w:val="21"/>
                <w:szCs w:val="21"/>
                <w:lang w:val="en-US" w:eastAsia="zh-CN" w:bidi="ar-SA"/>
              </w:rPr>
              <w:t>......</w:t>
            </w:r>
          </w:p>
        </w:tc>
      </w:tr>
    </w:tbl>
    <w:p>
      <w:pPr>
        <w:pStyle w:val="86"/>
        <w:shd w:val="clear"/>
        <w:ind w:firstLine="480"/>
        <w:rPr>
          <w:spacing w:val="0"/>
        </w:rPr>
      </w:pPr>
      <w:r>
        <w:rPr>
          <w:rFonts w:hint="eastAsia"/>
          <w:spacing w:val="0"/>
        </w:rPr>
        <w:t>3、编制说明</w:t>
      </w:r>
    </w:p>
    <w:p>
      <w:pPr>
        <w:pStyle w:val="86"/>
        <w:shd w:val="clear"/>
        <w:spacing w:line="360" w:lineRule="auto"/>
        <w:ind w:firstLine="480"/>
      </w:pPr>
      <w:r>
        <w:rPr>
          <w:rFonts w:hint="eastAsia"/>
          <w:spacing w:val="0"/>
        </w:rPr>
        <w:t>作为本工程的施工方，我公司通过认真研究和分析施工图纸，严格</w:t>
      </w:r>
      <w:r>
        <w:rPr>
          <w:spacing w:val="0"/>
        </w:rPr>
        <w:t>按</w:t>
      </w:r>
      <w:r>
        <w:rPr>
          <w:rFonts w:hint="eastAsia"/>
          <w:spacing w:val="0"/>
        </w:rPr>
        <w:t>照合同和设计文件</w:t>
      </w:r>
      <w:r>
        <w:rPr>
          <w:spacing w:val="0"/>
        </w:rPr>
        <w:t>，</w:t>
      </w:r>
      <w:r>
        <w:rPr>
          <w:rFonts w:hint="eastAsia"/>
          <w:spacing w:val="0"/>
        </w:rPr>
        <w:t>独立编制了本工程的施工组织设计。本施工组织设计涵盖了施工图中本工程所包括的施工范围内的全部内容建安工程等。并且着重从工程承包商的角度，阐述了我公司对该工程的工程质量、工期、安全、文明施工，服务协调，特别是关于质量、工期等工作进行统一管理的设想，以期高质量、高效率</w:t>
      </w:r>
      <w:r>
        <w:rPr>
          <w:rFonts w:hint="eastAsia"/>
          <w:spacing w:val="0"/>
          <w:lang w:eastAsia="zh-CN"/>
        </w:rPr>
        <w:t>地</w:t>
      </w:r>
      <w:r>
        <w:rPr>
          <w:rFonts w:hint="eastAsia"/>
          <w:spacing w:val="0"/>
        </w:rPr>
        <w:t>全面履行我公司作为承包商的职责。</w:t>
      </w:r>
      <w:bookmarkEnd w:id="10"/>
      <w:bookmarkEnd w:id="11"/>
      <w:bookmarkEnd w:id="12"/>
    </w:p>
    <w:bookmarkEnd w:id="9"/>
    <w:bookmarkEnd w:id="13"/>
    <w:p>
      <w:pPr>
        <w:pStyle w:val="3"/>
        <w:shd w:val="clear"/>
        <w:bidi w:val="0"/>
      </w:pPr>
      <w:bookmarkStart w:id="186" w:name="_GoBack"/>
      <w:bookmarkEnd w:id="186"/>
      <w:bookmarkStart w:id="22" w:name="_Toc26219"/>
      <w:r>
        <w:rPr>
          <w:rFonts w:hint="eastAsia"/>
        </w:rPr>
        <w:t>第</w:t>
      </w:r>
      <w:r>
        <w:rPr>
          <w:rFonts w:hint="eastAsia"/>
          <w:lang w:val="en-US" w:eastAsia="zh-CN"/>
        </w:rPr>
        <w:t>九</w:t>
      </w:r>
      <w:r>
        <w:rPr>
          <w:rFonts w:hint="eastAsia"/>
        </w:rPr>
        <w:t>章  现场平面布置及管理</w:t>
      </w:r>
      <w:bookmarkEnd w:id="22"/>
    </w:p>
    <w:p>
      <w:pPr>
        <w:pStyle w:val="4"/>
        <w:shd w:val="clear"/>
        <w:bidi w:val="0"/>
      </w:pPr>
      <w:bookmarkStart w:id="23" w:name="_Toc16512847"/>
      <w:bookmarkStart w:id="24" w:name="_Toc16513426"/>
      <w:bookmarkStart w:id="25" w:name="_Toc17743"/>
      <w:bookmarkStart w:id="26" w:name="_Toc16061"/>
      <w:bookmarkStart w:id="27" w:name="_Toc16513536"/>
      <w:bookmarkStart w:id="28" w:name="_Toc18483"/>
      <w:r>
        <w:rPr>
          <w:rFonts w:hint="eastAsia"/>
        </w:rPr>
        <w:t>第一节  平面布置原则</w:t>
      </w:r>
      <w:bookmarkEnd w:id="23"/>
      <w:bookmarkEnd w:id="24"/>
      <w:bookmarkEnd w:id="25"/>
      <w:bookmarkEnd w:id="26"/>
      <w:bookmarkEnd w:id="27"/>
      <w:bookmarkEnd w:id="28"/>
    </w:p>
    <w:p>
      <w:pPr>
        <w:pStyle w:val="5"/>
        <w:numPr>
          <w:ilvl w:val="0"/>
          <w:numId w:val="0"/>
        </w:numPr>
        <w:shd w:val="clear"/>
        <w:bidi w:val="0"/>
        <w:ind w:left="0" w:leftChars="0" w:firstLine="480" w:firstLineChars="0"/>
      </w:pPr>
      <w:r>
        <w:rPr>
          <w:rFonts w:hint="eastAsia" w:ascii="Times New Roman" w:hAnsi="Times New Roman" w:eastAsia="宋体" w:cs="Times New Roman"/>
          <w:b/>
          <w:bCs/>
          <w:kern w:val="2"/>
          <w:sz w:val="24"/>
          <w:szCs w:val="32"/>
          <w:lang w:val="en-US" w:eastAsia="zh-CN" w:bidi="ar-SA"/>
        </w:rPr>
        <w:t>一、</w:t>
      </w:r>
      <w:r>
        <w:t xml:space="preserve">施工场地平面布置依据及原则 </w:t>
      </w:r>
    </w:p>
    <w:p>
      <w:pPr>
        <w:pStyle w:val="6"/>
        <w:numPr>
          <w:ilvl w:val="0"/>
          <w:numId w:val="0"/>
        </w:numPr>
        <w:shd w:val="clear"/>
        <w:bidi w:val="0"/>
        <w:ind w:left="-160" w:leftChars="0" w:firstLine="420" w:firstLineChars="0"/>
      </w:pPr>
      <w:r>
        <w:rPr>
          <w:rFonts w:hint="eastAsia" w:ascii="宋体" w:hAnsi="宋体" w:eastAsia="宋体" w:cs="Times New Roman"/>
          <w:b/>
          <w:bCs/>
          <w:color w:val="000000"/>
          <w:kern w:val="0"/>
          <w:sz w:val="24"/>
          <w:szCs w:val="24"/>
          <w:lang w:val="en-US" w:eastAsia="zh-CN" w:bidi="ar-SA"/>
        </w:rPr>
        <w:t>（一）</w:t>
      </w:r>
      <w:r>
        <w:t>平面布置依据</w:t>
      </w:r>
    </w:p>
    <w:tbl>
      <w:tblPr>
        <w:tblStyle w:val="54"/>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11"/>
        <w:gridCol w:w="8739"/>
      </w:tblGrid>
      <w:tr>
        <w:trPr>
          <w:trHeight w:val="0" w:hRule="atLeast"/>
          <w:tblHeader/>
          <w:jc w:val="center"/>
        </w:trPr>
        <w:tc>
          <w:tcPr>
            <w:tcW w:w="91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序号</w:t>
            </w:r>
          </w:p>
        </w:tc>
        <w:tc>
          <w:tcPr>
            <w:tcW w:w="873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布置依据</w:t>
            </w:r>
          </w:p>
        </w:tc>
      </w:tr>
      <w:tr>
        <w:trPr>
          <w:trHeight w:val="0" w:hRule="atLeast"/>
          <w:jc w:val="center"/>
        </w:trPr>
        <w:tc>
          <w:tcPr>
            <w:tcW w:w="91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1 </w:t>
            </w:r>
          </w:p>
        </w:tc>
        <w:tc>
          <w:tcPr>
            <w:tcW w:w="8739"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rFonts w:hint="eastAsia"/>
                <w:color w:val="auto"/>
                <w:sz w:val="21"/>
                <w:szCs w:val="21"/>
              </w:rPr>
              <w:t>浙江省</w:t>
            </w:r>
            <w:r>
              <w:rPr>
                <w:color w:val="auto"/>
                <w:sz w:val="21"/>
                <w:szCs w:val="21"/>
              </w:rPr>
              <w:t>建筑施工标准化文明示范工地标准等要求。</w:t>
            </w:r>
            <w:r>
              <w:rPr>
                <w:sz w:val="21"/>
                <w:szCs w:val="21"/>
              </w:rPr>
              <w:t xml:space="preserve"> </w:t>
            </w:r>
          </w:p>
        </w:tc>
      </w:tr>
      <w:tr>
        <w:trPr>
          <w:trHeight w:val="0" w:hRule="atLeast"/>
          <w:jc w:val="center"/>
        </w:trPr>
        <w:tc>
          <w:tcPr>
            <w:tcW w:w="91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2 </w:t>
            </w:r>
          </w:p>
        </w:tc>
        <w:tc>
          <w:tcPr>
            <w:tcW w:w="8739"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现场红线、临界线、水源、电源位置。 </w:t>
            </w:r>
          </w:p>
        </w:tc>
      </w:tr>
      <w:tr>
        <w:trPr>
          <w:trHeight w:val="0" w:hRule="atLeast"/>
          <w:jc w:val="center"/>
        </w:trPr>
        <w:tc>
          <w:tcPr>
            <w:tcW w:w="91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3 </w:t>
            </w:r>
          </w:p>
        </w:tc>
        <w:tc>
          <w:tcPr>
            <w:tcW w:w="8739"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总进度计划及资源需用量计划。 </w:t>
            </w:r>
          </w:p>
        </w:tc>
      </w:tr>
      <w:tr>
        <w:trPr>
          <w:trHeight w:val="0" w:hRule="atLeast"/>
          <w:jc w:val="center"/>
        </w:trPr>
        <w:tc>
          <w:tcPr>
            <w:tcW w:w="91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4 </w:t>
            </w:r>
          </w:p>
        </w:tc>
        <w:tc>
          <w:tcPr>
            <w:tcW w:w="8739"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总体布置和主要施工方案。 </w:t>
            </w:r>
          </w:p>
        </w:tc>
      </w:tr>
      <w:tr>
        <w:trPr>
          <w:trHeight w:val="0" w:hRule="atLeast"/>
          <w:jc w:val="center"/>
        </w:trPr>
        <w:tc>
          <w:tcPr>
            <w:tcW w:w="91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5 </w:t>
            </w:r>
          </w:p>
        </w:tc>
        <w:tc>
          <w:tcPr>
            <w:tcW w:w="8739"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安全文明施工的环境保护要求。 </w:t>
            </w:r>
          </w:p>
        </w:tc>
      </w:tr>
    </w:tbl>
    <w:p>
      <w:pPr>
        <w:pStyle w:val="6"/>
        <w:numPr>
          <w:ilvl w:val="0"/>
          <w:numId w:val="0"/>
        </w:numPr>
        <w:shd w:val="clear"/>
        <w:bidi w:val="0"/>
        <w:ind w:left="-160" w:leftChars="0" w:firstLine="420" w:firstLineChars="0"/>
      </w:pPr>
      <w:r>
        <w:rPr>
          <w:rFonts w:hint="eastAsia" w:ascii="宋体" w:hAnsi="宋体" w:eastAsia="宋体" w:cs="Times New Roman"/>
          <w:b/>
          <w:bCs/>
          <w:color w:val="000000"/>
          <w:kern w:val="0"/>
          <w:sz w:val="24"/>
          <w:szCs w:val="24"/>
          <w:lang w:val="en-US" w:eastAsia="zh-CN" w:bidi="ar-SA"/>
        </w:rPr>
        <w:t>（二）</w:t>
      </w:r>
      <w:r>
        <w:t>施工平面布置原则</w:t>
      </w:r>
    </w:p>
    <w:tbl>
      <w:tblPr>
        <w:tblStyle w:val="54"/>
        <w:tblW w:w="9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2"/>
        <w:gridCol w:w="8763"/>
      </w:tblGrid>
      <w:tr>
        <w:trPr>
          <w:trHeight w:val="550" w:hRule="atLeast"/>
          <w:tblHeade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b/>
                <w:sz w:val="21"/>
                <w:szCs w:val="21"/>
              </w:rPr>
            </w:pPr>
            <w:r>
              <w:rPr>
                <w:b/>
                <w:sz w:val="21"/>
                <w:szCs w:val="21"/>
              </w:rPr>
              <w:t>序号</w:t>
            </w:r>
          </w:p>
        </w:tc>
        <w:tc>
          <w:tcPr>
            <w:tcW w:w="8763"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b/>
                <w:sz w:val="21"/>
                <w:szCs w:val="21"/>
              </w:rPr>
            </w:pPr>
            <w:r>
              <w:rPr>
                <w:b/>
                <w:sz w:val="21"/>
                <w:szCs w:val="21"/>
              </w:rPr>
              <w:t>布置原则</w:t>
            </w:r>
          </w:p>
        </w:tc>
      </w:tr>
      <w:tr>
        <w:trP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sz w:val="21"/>
                <w:szCs w:val="21"/>
              </w:rPr>
            </w:pPr>
            <w:r>
              <w:rPr>
                <w:sz w:val="21"/>
                <w:szCs w:val="21"/>
              </w:rPr>
              <w:t>1</w:t>
            </w:r>
          </w:p>
        </w:tc>
        <w:tc>
          <w:tcPr>
            <w:tcW w:w="87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firstLine="420" w:firstLineChars="200"/>
              <w:textAlignment w:val="auto"/>
              <w:rPr>
                <w:sz w:val="21"/>
                <w:szCs w:val="21"/>
              </w:rPr>
            </w:pPr>
            <w:r>
              <w:rPr>
                <w:sz w:val="21"/>
                <w:szCs w:val="21"/>
              </w:rPr>
              <w:t>兼顾周边</w:t>
            </w:r>
            <w:r>
              <w:rPr>
                <w:color w:val="auto"/>
                <w:sz w:val="21"/>
                <w:szCs w:val="21"/>
              </w:rPr>
              <w:t>环境：</w:t>
            </w:r>
            <w:r>
              <w:rPr>
                <w:rFonts w:hint="eastAsia"/>
                <w:color w:val="auto"/>
                <w:sz w:val="21"/>
                <w:szCs w:val="21"/>
              </w:rPr>
              <w:t>本工程</w:t>
            </w:r>
            <w:r>
              <w:rPr>
                <w:rFonts w:hint="eastAsia"/>
                <w:color w:val="auto"/>
                <w:sz w:val="21"/>
                <w:szCs w:val="21"/>
                <w:lang w:val="en-US" w:eastAsia="zh-CN"/>
              </w:rPr>
              <w:t>北侧西侧为工业厂区</w:t>
            </w:r>
            <w:r>
              <w:rPr>
                <w:rFonts w:hint="eastAsia"/>
                <w:color w:val="auto"/>
                <w:sz w:val="21"/>
                <w:szCs w:val="21"/>
              </w:rPr>
              <w:t>，</w:t>
            </w:r>
            <w:r>
              <w:rPr>
                <w:rFonts w:hint="eastAsia"/>
                <w:color w:val="auto"/>
                <w:sz w:val="21"/>
                <w:szCs w:val="21"/>
                <w:lang w:val="en-US" w:eastAsia="zh-CN"/>
              </w:rPr>
              <w:t>东侧为江北区人才公寓，南侧为居民小区</w:t>
            </w:r>
            <w:r>
              <w:rPr>
                <w:color w:val="auto"/>
                <w:sz w:val="21"/>
                <w:szCs w:val="21"/>
              </w:rPr>
              <w:t>，</w:t>
            </w:r>
            <w:r>
              <w:rPr>
                <w:rFonts w:hint="eastAsia"/>
                <w:color w:val="auto"/>
                <w:sz w:val="21"/>
                <w:szCs w:val="21"/>
                <w:lang w:val="en-US" w:eastAsia="zh-CN"/>
              </w:rPr>
              <w:t>南侧长阳路为主干道，西侧姜湖路为次干路</w:t>
            </w:r>
            <w:r>
              <w:rPr>
                <w:color w:val="auto"/>
                <w:sz w:val="21"/>
                <w:szCs w:val="21"/>
              </w:rPr>
              <w:t xml:space="preserve">。总平面布置需要充分考虑这些环境条件，以最大程度减小对本工程正常施工的影响为原则，主动消解或回避矛盾。 </w:t>
            </w:r>
          </w:p>
        </w:tc>
      </w:tr>
      <w:tr>
        <w:trP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sz w:val="21"/>
                <w:szCs w:val="21"/>
              </w:rPr>
            </w:pPr>
            <w:r>
              <w:rPr>
                <w:sz w:val="21"/>
                <w:szCs w:val="21"/>
              </w:rPr>
              <w:t>2</w:t>
            </w:r>
          </w:p>
        </w:tc>
        <w:tc>
          <w:tcPr>
            <w:tcW w:w="87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firstLine="408" w:firstLineChars="200"/>
              <w:jc w:val="both"/>
              <w:textAlignment w:val="auto"/>
              <w:rPr>
                <w:sz w:val="21"/>
                <w:szCs w:val="21"/>
              </w:rPr>
            </w:pPr>
            <w:r>
              <w:rPr>
                <w:spacing w:val="-3"/>
                <w:sz w:val="21"/>
                <w:szCs w:val="21"/>
              </w:rPr>
              <w:t>现场布置以确保生产为主：地库周边临近红线空间</w:t>
            </w:r>
            <w:r>
              <w:rPr>
                <w:rFonts w:hint="eastAsia"/>
                <w:spacing w:val="-3"/>
                <w:sz w:val="21"/>
                <w:szCs w:val="21"/>
              </w:rPr>
              <w:t>较多</w:t>
            </w:r>
            <w:r>
              <w:rPr>
                <w:spacing w:val="-3"/>
                <w:sz w:val="21"/>
                <w:szCs w:val="21"/>
              </w:rPr>
              <w:t>，</w:t>
            </w:r>
            <w:r>
              <w:rPr>
                <w:rFonts w:hint="eastAsia"/>
                <w:spacing w:val="-3"/>
                <w:sz w:val="21"/>
                <w:szCs w:val="21"/>
              </w:rPr>
              <w:t>主</w:t>
            </w:r>
            <w:r>
              <w:rPr>
                <w:spacing w:val="-3"/>
                <w:sz w:val="21"/>
                <w:szCs w:val="21"/>
              </w:rPr>
              <w:t>要布置土建材料堆场</w:t>
            </w:r>
            <w:r>
              <w:rPr>
                <w:rFonts w:hint="eastAsia"/>
                <w:spacing w:val="-3"/>
                <w:sz w:val="21"/>
                <w:szCs w:val="21"/>
                <w:lang w:eastAsia="zh-CN"/>
              </w:rPr>
              <w:t>，以及</w:t>
            </w:r>
            <w:r>
              <w:rPr>
                <w:spacing w:val="-3"/>
                <w:sz w:val="21"/>
                <w:szCs w:val="21"/>
              </w:rPr>
              <w:t>各专业材料堆场，施工</w:t>
            </w:r>
            <w:r>
              <w:rPr>
                <w:color w:val="auto"/>
                <w:spacing w:val="-3"/>
                <w:sz w:val="21"/>
                <w:szCs w:val="21"/>
              </w:rPr>
              <w:t>时场地规划将以满足生产为原则，场内仓库设置在红线内</w:t>
            </w:r>
            <w:r>
              <w:rPr>
                <w:rFonts w:hint="eastAsia"/>
                <w:color w:val="auto"/>
                <w:spacing w:val="-3"/>
                <w:sz w:val="21"/>
                <w:szCs w:val="21"/>
                <w:lang w:val="en-US" w:eastAsia="zh-CN"/>
              </w:rPr>
              <w:t>北</w:t>
            </w:r>
            <w:r>
              <w:rPr>
                <w:color w:val="auto"/>
                <w:spacing w:val="-3"/>
                <w:sz w:val="21"/>
                <w:szCs w:val="21"/>
              </w:rPr>
              <w:t>侧位置，职工生活区域</w:t>
            </w:r>
            <w:r>
              <w:rPr>
                <w:rFonts w:hint="eastAsia"/>
                <w:color w:val="auto"/>
                <w:spacing w:val="-3"/>
                <w:sz w:val="21"/>
                <w:szCs w:val="21"/>
              </w:rPr>
              <w:t>及办公区域</w:t>
            </w:r>
            <w:r>
              <w:rPr>
                <w:color w:val="auto"/>
                <w:spacing w:val="-3"/>
                <w:sz w:val="21"/>
                <w:szCs w:val="21"/>
              </w:rPr>
              <w:t>设置</w:t>
            </w:r>
            <w:r>
              <w:rPr>
                <w:rFonts w:hint="eastAsia"/>
                <w:color w:val="auto"/>
                <w:spacing w:val="-3"/>
                <w:sz w:val="21"/>
                <w:szCs w:val="21"/>
              </w:rPr>
              <w:t>在西侧的空地处</w:t>
            </w:r>
            <w:r>
              <w:rPr>
                <w:color w:val="auto"/>
                <w:sz w:val="21"/>
                <w:szCs w:val="21"/>
              </w:rPr>
              <w:t xml:space="preserve">。 </w:t>
            </w:r>
          </w:p>
        </w:tc>
      </w:tr>
      <w:tr>
        <w:trP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sz w:val="21"/>
                <w:szCs w:val="21"/>
              </w:rPr>
            </w:pPr>
            <w:r>
              <w:rPr>
                <w:sz w:val="21"/>
                <w:szCs w:val="21"/>
              </w:rPr>
              <w:t>3</w:t>
            </w:r>
          </w:p>
        </w:tc>
        <w:tc>
          <w:tcPr>
            <w:tcW w:w="87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firstLine="420" w:firstLineChars="200"/>
              <w:textAlignment w:val="auto"/>
              <w:rPr>
                <w:sz w:val="21"/>
                <w:szCs w:val="21"/>
              </w:rPr>
            </w:pPr>
            <w:r>
              <w:rPr>
                <w:sz w:val="21"/>
                <w:szCs w:val="21"/>
              </w:rPr>
              <w:t xml:space="preserve">充分利用完工结构楼层：本工程主楼周边塔吊覆盖区域有限，装修、机电等后续作业进场后，材料运输和堆场空间需求剧增，故必须充分利用主楼附近空地位置作为材料堆场。 </w:t>
            </w:r>
          </w:p>
        </w:tc>
      </w:tr>
      <w:tr>
        <w:trP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sz w:val="21"/>
                <w:szCs w:val="21"/>
              </w:rPr>
            </w:pPr>
            <w:r>
              <w:rPr>
                <w:sz w:val="21"/>
                <w:szCs w:val="21"/>
              </w:rPr>
              <w:t>4</w:t>
            </w:r>
          </w:p>
        </w:tc>
        <w:tc>
          <w:tcPr>
            <w:tcW w:w="87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firstLine="420" w:firstLineChars="200"/>
              <w:textAlignment w:val="auto"/>
              <w:rPr>
                <w:sz w:val="21"/>
                <w:szCs w:val="21"/>
              </w:rPr>
            </w:pPr>
            <w:r>
              <w:rPr>
                <w:sz w:val="21"/>
                <w:szCs w:val="21"/>
              </w:rPr>
              <w:t xml:space="preserve">按专业工种分区，集中管理，高效利用：场地由总承包单位统一规划布置，统一协调和管理，按专业、工种划分施工用地，临时中转场地由总包统一管理，避免用地交叉、相互影响干扰。 </w:t>
            </w:r>
          </w:p>
        </w:tc>
      </w:tr>
      <w:tr>
        <w:trPr>
          <w:jc w:val="center"/>
        </w:trPr>
        <w:tc>
          <w:tcPr>
            <w:tcW w:w="92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jc w:val="center"/>
              <w:textAlignment w:val="auto"/>
              <w:rPr>
                <w:sz w:val="21"/>
                <w:szCs w:val="21"/>
              </w:rPr>
            </w:pPr>
            <w:r>
              <w:rPr>
                <w:sz w:val="21"/>
                <w:szCs w:val="21"/>
              </w:rPr>
              <w:t>5</w:t>
            </w:r>
          </w:p>
        </w:tc>
        <w:tc>
          <w:tcPr>
            <w:tcW w:w="87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rightChars="0" w:firstLine="420" w:firstLineChars="200"/>
              <w:textAlignment w:val="auto"/>
              <w:rPr>
                <w:sz w:val="21"/>
                <w:szCs w:val="21"/>
              </w:rPr>
            </w:pPr>
            <w:r>
              <w:rPr>
                <w:sz w:val="21"/>
                <w:szCs w:val="21"/>
              </w:rPr>
              <w:t xml:space="preserve">确保安全，兼顾美观，绿色环保：合理规划场地，确保使用安全，同时分类有序布置各种设施，紧而不乱，协调美观，达到安全文明示范工地标准。平面布置还需充分考虑节能、节材、节水、节地和环保功能，做到绿色施工。 </w:t>
            </w:r>
          </w:p>
        </w:tc>
      </w:tr>
    </w:tbl>
    <w:p>
      <w:pPr>
        <w:rPr>
          <w:rFonts w:hint="eastAsia"/>
        </w:rPr>
      </w:pPr>
      <w:bookmarkStart w:id="29" w:name="_Toc16513537"/>
      <w:bookmarkStart w:id="30" w:name="_Toc16513427"/>
      <w:bookmarkStart w:id="31" w:name="_Toc16512848"/>
      <w:bookmarkStart w:id="32" w:name="_Toc12162"/>
      <w:bookmarkStart w:id="33" w:name="_Toc2611"/>
      <w:r>
        <w:rPr>
          <w:rFonts w:hint="eastAsia"/>
        </w:rPr>
        <w:br w:type="page"/>
      </w:r>
    </w:p>
    <w:p>
      <w:pPr>
        <w:pStyle w:val="4"/>
        <w:shd w:val="clear"/>
        <w:spacing w:before="156" w:after="156"/>
      </w:pPr>
      <w:bookmarkStart w:id="34" w:name="_Toc25905"/>
      <w:r>
        <w:rPr>
          <w:rFonts w:hint="eastAsia"/>
        </w:rPr>
        <w:t xml:space="preserve">第二节  </w:t>
      </w:r>
      <w:bookmarkEnd w:id="29"/>
      <w:bookmarkEnd w:id="30"/>
      <w:bookmarkEnd w:id="31"/>
      <w:bookmarkEnd w:id="32"/>
      <w:r>
        <w:rPr>
          <w:rFonts w:hint="eastAsia"/>
        </w:rPr>
        <w:t>施工现场总平面布置</w:t>
      </w:r>
      <w:bookmarkEnd w:id="33"/>
      <w:bookmarkEnd w:id="34"/>
    </w:p>
    <w:p>
      <w:pPr>
        <w:widowControl/>
        <w:shd w:val="clear"/>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施工现场场地设施主要包括生活区、办公区、临时用水、临时用电、各类施工机械设备、施工道路、围墙等。详见场地布置图。</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一、</w:t>
      </w:r>
      <w:r>
        <w:t xml:space="preserve">施工总平面图 </w:t>
      </w:r>
    </w:p>
    <w:tbl>
      <w:tblPr>
        <w:tblStyle w:val="54"/>
        <w:tblW w:w="9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685"/>
      </w:tblGrid>
      <w:tr>
        <w:trPr>
          <w:trHeight w:val="0"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300" w:lineRule="auto"/>
              <w:ind w:left="0" w:right="-73"/>
              <w:jc w:val="center"/>
              <w:rPr>
                <w:b/>
                <w:sz w:val="21"/>
                <w:szCs w:val="21"/>
              </w:rPr>
            </w:pPr>
            <w:r>
              <w:rPr>
                <w:b/>
                <w:sz w:val="21"/>
                <w:szCs w:val="21"/>
              </w:rPr>
              <w:t>施工平面图布置</w:t>
            </w:r>
          </w:p>
        </w:tc>
      </w:tr>
      <w:tr>
        <w:trPr>
          <w:trHeight w:val="0"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300" w:lineRule="auto"/>
              <w:ind w:left="17" w:right="0" w:hanging="14" w:hangingChars="7"/>
              <w:jc w:val="center"/>
              <w:rPr>
                <w:rFonts w:hint="eastAsia" w:eastAsia="宋体"/>
                <w:sz w:val="21"/>
                <w:szCs w:val="21"/>
                <w:lang w:eastAsia="zh-CN"/>
              </w:rPr>
            </w:pPr>
            <w:r>
              <w:rPr>
                <w:rFonts w:hint="eastAsia" w:eastAsia="宋体"/>
                <w:sz w:val="21"/>
                <w:szCs w:val="21"/>
                <w:lang w:eastAsia="zh-CN"/>
              </w:rPr>
              <w:drawing>
                <wp:inline distT="0" distB="0" distL="114300" distR="114300">
                  <wp:extent cx="4283710" cy="3133725"/>
                  <wp:effectExtent l="0" t="0" r="13970" b="5715"/>
                  <wp:docPr id="106" name="图片 106" descr="pm202411041704528965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pm2024110417045289659843"/>
                          <pic:cNvPicPr>
                            <a:picLocks noChangeAspect="1"/>
                          </pic:cNvPicPr>
                        </pic:nvPicPr>
                        <pic:blipFill>
                          <a:blip r:embed="rId16"/>
                          <a:srcRect/>
                          <a:stretch>
                            <a:fillRect/>
                          </a:stretch>
                        </pic:blipFill>
                        <pic:spPr>
                          <a:xfrm>
                            <a:off x="0" y="0"/>
                            <a:ext cx="4283710" cy="3133725"/>
                          </a:xfrm>
                          <a:prstGeom prst="rect">
                            <a:avLst/>
                          </a:prstGeom>
                        </pic:spPr>
                      </pic:pic>
                    </a:graphicData>
                  </a:graphic>
                </wp:inline>
              </w:drawing>
            </w:r>
          </w:p>
        </w:tc>
      </w:tr>
      <w:tr>
        <w:trPr>
          <w:trHeight w:val="0"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300" w:lineRule="auto"/>
              <w:ind w:left="17" w:right="0" w:hanging="14" w:hangingChars="7"/>
              <w:jc w:val="center"/>
              <w:rPr>
                <w:rFonts w:hint="eastAsia" w:eastAsia="宋体"/>
                <w:sz w:val="21"/>
                <w:szCs w:val="21"/>
                <w:lang w:eastAsia="zh-CN"/>
              </w:rPr>
            </w:pPr>
            <w:r>
              <w:rPr>
                <w:rFonts w:hint="eastAsia"/>
                <w:sz w:val="21"/>
                <w:szCs w:val="21"/>
              </w:rPr>
              <w:t>挖土</w:t>
            </w:r>
            <w:r>
              <w:rPr>
                <w:sz w:val="21"/>
                <w:szCs w:val="21"/>
              </w:rPr>
              <w:t>施工平面布置图</w:t>
            </w:r>
          </w:p>
        </w:tc>
      </w:tr>
      <w:tr>
        <w:trPr>
          <w:trHeight w:val="0" w:hRule="atLeast"/>
          <w:jc w:val="center"/>
        </w:trPr>
        <w:tc>
          <w:tcPr>
            <w:tcW w:w="9685" w:type="dxa"/>
            <w:shd w:val="clear" w:color="auto" w:fill="auto"/>
          </w:tcPr>
          <w:p>
            <w:pPr>
              <w:pStyle w:val="270"/>
              <w:keepNext w:val="0"/>
              <w:keepLines w:val="0"/>
              <w:suppressLineNumbers w:val="0"/>
              <w:shd w:val="clear"/>
              <w:spacing w:before="0" w:beforeAutospacing="0" w:after="0" w:afterAutospacing="0" w:line="300" w:lineRule="auto"/>
              <w:ind w:left="0" w:right="0"/>
              <w:jc w:val="center"/>
              <w:rPr>
                <w:rFonts w:hint="eastAsia" w:eastAsia="宋体"/>
                <w:sz w:val="21"/>
                <w:szCs w:val="21"/>
                <w:lang w:eastAsia="zh-CN"/>
              </w:rPr>
            </w:pPr>
            <w:r>
              <w:drawing>
                <wp:inline distT="0" distB="0" distL="114300" distR="114300">
                  <wp:extent cx="4341495" cy="3495040"/>
                  <wp:effectExtent l="0" t="0" r="1905" b="10160"/>
                  <wp:docPr id="10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5"/>
                          <pic:cNvPicPr>
                            <a:picLocks noChangeAspect="1"/>
                          </pic:cNvPicPr>
                        </pic:nvPicPr>
                        <pic:blipFill>
                          <a:blip r:embed="rId17"/>
                          <a:stretch>
                            <a:fillRect/>
                          </a:stretch>
                        </pic:blipFill>
                        <pic:spPr>
                          <a:xfrm>
                            <a:off x="0" y="0"/>
                            <a:ext cx="4341495" cy="3495040"/>
                          </a:xfrm>
                          <a:prstGeom prst="rect">
                            <a:avLst/>
                          </a:prstGeom>
                          <a:noFill/>
                          <a:ln>
                            <a:noFill/>
                          </a:ln>
                        </pic:spPr>
                      </pic:pic>
                    </a:graphicData>
                  </a:graphic>
                </wp:inline>
              </w:drawing>
            </w:r>
          </w:p>
        </w:tc>
      </w:tr>
      <w:tr>
        <w:trPr>
          <w:trHeight w:val="325"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300" w:lineRule="auto"/>
              <w:ind w:left="0" w:right="0"/>
              <w:jc w:val="center"/>
              <w:rPr>
                <w:rFonts w:hint="eastAsia" w:eastAsia="宋体"/>
                <w:sz w:val="21"/>
                <w:szCs w:val="21"/>
                <w:lang w:eastAsia="zh-CN"/>
              </w:rPr>
            </w:pPr>
            <w:r>
              <w:rPr>
                <w:sz w:val="21"/>
                <w:szCs w:val="21"/>
              </w:rPr>
              <w:t>地上部分施工平面布置图</w:t>
            </w:r>
          </w:p>
          <w:p>
            <w:pPr>
              <w:pStyle w:val="270"/>
              <w:keepNext w:val="0"/>
              <w:keepLines w:val="0"/>
              <w:suppressLineNumbers w:val="0"/>
              <w:shd w:val="clear"/>
              <w:spacing w:before="0" w:beforeAutospacing="0" w:after="0" w:afterAutospacing="0" w:line="300" w:lineRule="auto"/>
              <w:ind w:left="3064" w:right="2816"/>
              <w:jc w:val="center"/>
              <w:rPr>
                <w:sz w:val="21"/>
                <w:szCs w:val="21"/>
              </w:rPr>
            </w:pPr>
          </w:p>
        </w:tc>
      </w:tr>
      <w:tr>
        <w:trPr>
          <w:trHeight w:val="0"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240" w:lineRule="auto"/>
              <w:ind w:left="0" w:right="0"/>
              <w:jc w:val="center"/>
              <w:rPr>
                <w:sz w:val="21"/>
                <w:szCs w:val="21"/>
              </w:rPr>
            </w:pPr>
            <w:r>
              <w:drawing>
                <wp:inline distT="0" distB="0" distL="114300" distR="114300">
                  <wp:extent cx="4470400" cy="3773805"/>
                  <wp:effectExtent l="0" t="0" r="10160" b="5715"/>
                  <wp:docPr id="10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6"/>
                          <pic:cNvPicPr>
                            <a:picLocks noChangeAspect="1"/>
                          </pic:cNvPicPr>
                        </pic:nvPicPr>
                        <pic:blipFill>
                          <a:blip r:embed="rId18"/>
                          <a:stretch>
                            <a:fillRect/>
                          </a:stretch>
                        </pic:blipFill>
                        <pic:spPr>
                          <a:xfrm>
                            <a:off x="0" y="0"/>
                            <a:ext cx="4470400" cy="3773805"/>
                          </a:xfrm>
                          <a:prstGeom prst="rect">
                            <a:avLst/>
                          </a:prstGeom>
                          <a:noFill/>
                          <a:ln>
                            <a:noFill/>
                          </a:ln>
                        </pic:spPr>
                      </pic:pic>
                    </a:graphicData>
                  </a:graphic>
                </wp:inline>
              </w:drawing>
            </w:r>
          </w:p>
        </w:tc>
      </w:tr>
      <w:tr>
        <w:trPr>
          <w:trHeight w:val="0" w:hRule="atLeast"/>
          <w:jc w:val="center"/>
        </w:trPr>
        <w:tc>
          <w:tcPr>
            <w:tcW w:w="9685" w:type="dxa"/>
            <w:shd w:val="clear" w:color="auto" w:fill="auto"/>
            <w:vAlign w:val="center"/>
          </w:tcPr>
          <w:p>
            <w:pPr>
              <w:pStyle w:val="270"/>
              <w:keepNext w:val="0"/>
              <w:keepLines w:val="0"/>
              <w:suppressLineNumbers w:val="0"/>
              <w:shd w:val="clear"/>
              <w:spacing w:before="0" w:beforeAutospacing="0" w:after="0" w:afterAutospacing="0" w:line="300" w:lineRule="auto"/>
              <w:ind w:left="3064" w:right="2816"/>
              <w:jc w:val="center"/>
              <w:rPr>
                <w:sz w:val="21"/>
                <w:szCs w:val="21"/>
              </w:rPr>
            </w:pPr>
            <w:r>
              <w:rPr>
                <w:sz w:val="21"/>
                <w:szCs w:val="21"/>
              </w:rPr>
              <w:t>装饰装修及机电安装施工平面布置图</w:t>
            </w:r>
          </w:p>
        </w:tc>
      </w:tr>
    </w:tbl>
    <w:p>
      <w:pPr>
        <w:pStyle w:val="5"/>
        <w:numPr>
          <w:ilvl w:val="0"/>
          <w:numId w:val="0"/>
        </w:numPr>
        <w:shd w:val="clear"/>
        <w:bidi w:val="0"/>
        <w:ind w:left="0" w:leftChars="0" w:firstLine="480" w:firstLineChars="200"/>
        <w:rPr>
          <w:rFonts w:hint="eastAsia"/>
        </w:rPr>
      </w:pPr>
      <w:bookmarkStart w:id="35" w:name="_Toc16512850"/>
      <w:bookmarkStart w:id="36" w:name="_Toc16513539"/>
      <w:bookmarkStart w:id="37" w:name="_Toc17906"/>
      <w:bookmarkStart w:id="38" w:name="_Toc2854"/>
      <w:bookmarkStart w:id="39" w:name="_Toc16513429"/>
      <w:r>
        <w:rPr>
          <w:rFonts w:hint="eastAsia" w:ascii="Times New Roman" w:hAnsi="Times New Roman" w:eastAsia="宋体" w:cs="Times New Roman"/>
          <w:b/>
          <w:bCs/>
          <w:kern w:val="2"/>
          <w:sz w:val="24"/>
          <w:szCs w:val="32"/>
          <w:lang w:val="en-US" w:eastAsia="zh-CN" w:bidi="ar-SA"/>
        </w:rPr>
        <w:t>二、</w:t>
      </w:r>
      <w:r>
        <w:rPr>
          <w:rFonts w:hint="eastAsia"/>
        </w:rPr>
        <w:t xml:space="preserve">主要生产临时设施 </w:t>
      </w:r>
    </w:p>
    <w:tbl>
      <w:tblPr>
        <w:tblStyle w:val="54"/>
        <w:tblW w:w="9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757"/>
        <w:gridCol w:w="4890"/>
      </w:tblGrid>
      <w:tr>
        <w:trPr>
          <w:trHeight w:val="0" w:hRule="atLeast"/>
          <w:tblHeader/>
          <w:jc w:val="center"/>
        </w:trPr>
        <w:tc>
          <w:tcPr>
            <w:tcW w:w="9647" w:type="dxa"/>
            <w:gridSpan w:val="2"/>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b/>
                <w:bCs/>
                <w:sz w:val="21"/>
                <w:szCs w:val="21"/>
                <w:shd w:val="clear"/>
              </w:rPr>
              <w:t>主要生产设施布置示意图</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钢筋加工区域（加工场）</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钢筋加工区域（堆场）</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950210" cy="1816735"/>
                  <wp:effectExtent l="0" t="0" r="2540" b="12065"/>
                  <wp:docPr id="76" name="图片 76" descr="pm2022081622013237528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pm20220816220132375289202"/>
                          <pic:cNvPicPr>
                            <a:picLocks noChangeAspect="1"/>
                          </pic:cNvPicPr>
                        </pic:nvPicPr>
                        <pic:blipFill>
                          <a:blip r:embed="rId19"/>
                          <a:stretch>
                            <a:fillRect/>
                          </a:stretch>
                        </pic:blipFill>
                        <pic:spPr>
                          <a:xfrm>
                            <a:off x="0" y="0"/>
                            <a:ext cx="2950210" cy="1816735"/>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3009265" cy="1894840"/>
                  <wp:effectExtent l="0" t="0" r="635" b="10160"/>
                  <wp:docPr id="7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0"/>
                          <pic:cNvPicPr>
                            <a:picLocks noChangeAspect="1"/>
                          </pic:cNvPicPr>
                        </pic:nvPicPr>
                        <pic:blipFill>
                          <a:blip r:embed="rId20"/>
                          <a:srcRect l="12363" t="2210" b="7054"/>
                          <a:stretch>
                            <a:fillRect/>
                          </a:stretch>
                        </pic:blipFill>
                        <pic:spPr>
                          <a:xfrm>
                            <a:off x="0" y="0"/>
                            <a:ext cx="3009265" cy="1894840"/>
                          </a:xfrm>
                          <a:prstGeom prst="rect">
                            <a:avLst/>
                          </a:prstGeom>
                          <a:noFill/>
                          <a:ln>
                            <a:noFill/>
                          </a:ln>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模板加工区域（木工棚）</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模板加工区域（模板、木枋堆场）</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sz w:val="21"/>
                <w:szCs w:val="21"/>
              </w:rPr>
              <w:drawing>
                <wp:inline distT="0" distB="0" distL="114300" distR="114300">
                  <wp:extent cx="3038475" cy="1711325"/>
                  <wp:effectExtent l="0" t="0" r="9525" b="3175"/>
                  <wp:docPr id="7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1"/>
                          <pic:cNvPicPr>
                            <a:picLocks noChangeAspect="1"/>
                          </pic:cNvPicPr>
                        </pic:nvPicPr>
                        <pic:blipFill>
                          <a:blip r:embed="rId21"/>
                          <a:stretch>
                            <a:fillRect/>
                          </a:stretch>
                        </pic:blipFill>
                        <pic:spPr>
                          <a:xfrm>
                            <a:off x="0" y="0"/>
                            <a:ext cx="3038475" cy="1711325"/>
                          </a:xfrm>
                          <a:prstGeom prst="rect">
                            <a:avLst/>
                          </a:prstGeom>
                          <a:noFill/>
                          <a:ln>
                            <a:noFill/>
                          </a:ln>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809875" cy="1823720"/>
                  <wp:effectExtent l="0" t="0" r="9525" b="5080"/>
                  <wp:docPr id="79"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1.jpeg"/>
                          <pic:cNvPicPr>
                            <a:picLocks noChangeAspect="1"/>
                          </pic:cNvPicPr>
                        </pic:nvPicPr>
                        <pic:blipFill>
                          <a:blip r:embed="rId22" cstate="print"/>
                          <a:stretch>
                            <a:fillRect/>
                          </a:stretch>
                        </pic:blipFill>
                        <pic:spPr>
                          <a:xfrm>
                            <a:off x="0" y="0"/>
                            <a:ext cx="2809875" cy="1823720"/>
                          </a:xfrm>
                          <a:prstGeom prst="rect">
                            <a:avLst/>
                          </a:prstGeom>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集装箱式仓库</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工具存放房</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633345" cy="1773555"/>
                  <wp:effectExtent l="0" t="0" r="14605" b="17145"/>
                  <wp:docPr id="172"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42.jpeg"/>
                          <pic:cNvPicPr>
                            <a:picLocks noChangeAspect="1"/>
                          </pic:cNvPicPr>
                        </pic:nvPicPr>
                        <pic:blipFill>
                          <a:blip r:embed="rId23" cstate="print"/>
                          <a:stretch>
                            <a:fillRect/>
                          </a:stretch>
                        </pic:blipFill>
                        <pic:spPr>
                          <a:xfrm>
                            <a:off x="0" y="0"/>
                            <a:ext cx="2633345" cy="1773555"/>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757805" cy="1729105"/>
                  <wp:effectExtent l="0" t="0" r="4445" b="4445"/>
                  <wp:docPr id="248"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43.jpeg"/>
                          <pic:cNvPicPr>
                            <a:picLocks noChangeAspect="1"/>
                          </pic:cNvPicPr>
                        </pic:nvPicPr>
                        <pic:blipFill>
                          <a:blip r:embed="rId24" cstate="print"/>
                          <a:stretch>
                            <a:fillRect/>
                          </a:stretch>
                        </pic:blipFill>
                        <pic:spPr>
                          <a:xfrm>
                            <a:off x="0" y="0"/>
                            <a:ext cx="2758439" cy="1729105"/>
                          </a:xfrm>
                          <a:prstGeom prst="rect">
                            <a:avLst/>
                          </a:prstGeom>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圆钢堆场</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钢管堆场</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636520" cy="1759585"/>
                  <wp:effectExtent l="0" t="0" r="11430" b="12065"/>
                  <wp:docPr id="249"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44.jpeg"/>
                          <pic:cNvPicPr>
                            <a:picLocks noChangeAspect="1"/>
                          </pic:cNvPicPr>
                        </pic:nvPicPr>
                        <pic:blipFill>
                          <a:blip r:embed="rId25" cstate="print"/>
                          <a:stretch>
                            <a:fillRect/>
                          </a:stretch>
                        </pic:blipFill>
                        <pic:spPr>
                          <a:xfrm>
                            <a:off x="0" y="0"/>
                            <a:ext cx="2636520" cy="1759585"/>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548255" cy="1718310"/>
                  <wp:effectExtent l="0" t="0" r="4445" b="15240"/>
                  <wp:docPr id="250"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45.jpeg"/>
                          <pic:cNvPicPr>
                            <a:picLocks noChangeAspect="1"/>
                          </pic:cNvPicPr>
                        </pic:nvPicPr>
                        <pic:blipFill>
                          <a:blip r:embed="rId26" cstate="print"/>
                          <a:stretch>
                            <a:fillRect/>
                          </a:stretch>
                        </pic:blipFill>
                        <pic:spPr>
                          <a:xfrm>
                            <a:off x="0" y="0"/>
                            <a:ext cx="2548255" cy="1718310"/>
                          </a:xfrm>
                          <a:prstGeom prst="rect">
                            <a:avLst/>
                          </a:prstGeom>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零星材料堆场</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砌块堆场</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689860" cy="1948180"/>
                  <wp:effectExtent l="0" t="0" r="15240" b="13970"/>
                  <wp:docPr id="258"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46.jpeg"/>
                          <pic:cNvPicPr>
                            <a:picLocks noChangeAspect="1"/>
                          </pic:cNvPicPr>
                        </pic:nvPicPr>
                        <pic:blipFill>
                          <a:blip r:embed="rId27" cstate="print"/>
                          <a:stretch>
                            <a:fillRect/>
                          </a:stretch>
                        </pic:blipFill>
                        <pic:spPr>
                          <a:xfrm>
                            <a:off x="0" y="0"/>
                            <a:ext cx="2689860" cy="1948180"/>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907030" cy="1932305"/>
                  <wp:effectExtent l="0" t="0" r="7620" b="10795"/>
                  <wp:docPr id="2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2"/>
                          <pic:cNvPicPr>
                            <a:picLocks noChangeAspect="1"/>
                          </pic:cNvPicPr>
                        </pic:nvPicPr>
                        <pic:blipFill>
                          <a:blip r:embed="rId28"/>
                          <a:stretch>
                            <a:fillRect/>
                          </a:stretch>
                        </pic:blipFill>
                        <pic:spPr>
                          <a:xfrm>
                            <a:off x="0" y="0"/>
                            <a:ext cx="2907030" cy="1932305"/>
                          </a:xfrm>
                          <a:prstGeom prst="rect">
                            <a:avLst/>
                          </a:prstGeom>
                          <a:noFill/>
                          <a:ln>
                            <a:noFill/>
                          </a:ln>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砂石堆场</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人行斜道</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727960" cy="2156460"/>
                  <wp:effectExtent l="0" t="0" r="15240" b="15240"/>
                  <wp:docPr id="270"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48.jpeg"/>
                          <pic:cNvPicPr>
                            <a:picLocks noChangeAspect="1"/>
                          </pic:cNvPicPr>
                        </pic:nvPicPr>
                        <pic:blipFill>
                          <a:blip r:embed="rId29" cstate="print"/>
                          <a:stretch>
                            <a:fillRect/>
                          </a:stretch>
                        </pic:blipFill>
                        <pic:spPr>
                          <a:xfrm>
                            <a:off x="0" y="0"/>
                            <a:ext cx="2727960" cy="2156460"/>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689225" cy="2178685"/>
                  <wp:effectExtent l="0" t="0" r="15875" b="12065"/>
                  <wp:docPr id="27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49.jpeg"/>
                          <pic:cNvPicPr>
                            <a:picLocks noChangeAspect="1"/>
                          </pic:cNvPicPr>
                        </pic:nvPicPr>
                        <pic:blipFill>
                          <a:blip r:embed="rId30" cstate="print"/>
                          <a:stretch>
                            <a:fillRect/>
                          </a:stretch>
                        </pic:blipFill>
                        <pic:spPr>
                          <a:xfrm>
                            <a:off x="0" y="0"/>
                            <a:ext cx="2689859" cy="2179319"/>
                          </a:xfrm>
                          <a:prstGeom prst="rect">
                            <a:avLst/>
                          </a:prstGeom>
                        </pic:spPr>
                      </pic:pic>
                    </a:graphicData>
                  </a:graphic>
                </wp:inline>
              </w:drawing>
            </w:r>
          </w:p>
        </w:tc>
      </w:tr>
      <w:tr>
        <w:trPr>
          <w:trHeight w:val="0" w:hRule="atLeast"/>
          <w:jc w:val="center"/>
        </w:trPr>
        <w:tc>
          <w:tcPr>
            <w:tcW w:w="9647" w:type="dxa"/>
            <w:gridSpan w:val="2"/>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b/>
                <w:bCs/>
                <w:sz w:val="21"/>
                <w:szCs w:val="21"/>
              </w:rPr>
              <w:t>主要安全文明设施示意图</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hanging="4"/>
              <w:jc w:val="center"/>
              <w:rPr>
                <w:rFonts w:hint="eastAsia" w:ascii="宋体" w:hAnsi="宋体" w:eastAsia="宋体" w:cs="宋体"/>
                <w:sz w:val="21"/>
                <w:szCs w:val="21"/>
              </w:rPr>
            </w:pPr>
            <w:r>
              <w:rPr>
                <w:rFonts w:hint="eastAsia" w:ascii="宋体" w:hAnsi="宋体" w:eastAsia="宋体" w:cs="宋体"/>
                <w:sz w:val="21"/>
                <w:szCs w:val="21"/>
              </w:rPr>
              <w:t>配电箱防火棚</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场地道路硬化</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710815" cy="1617345"/>
                  <wp:effectExtent l="0" t="0" r="13335" b="1905"/>
                  <wp:docPr id="272"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50.jpeg"/>
                          <pic:cNvPicPr>
                            <a:picLocks noChangeAspect="1"/>
                          </pic:cNvPicPr>
                        </pic:nvPicPr>
                        <pic:blipFill>
                          <a:blip r:embed="rId31" cstate="print"/>
                          <a:stretch>
                            <a:fillRect/>
                          </a:stretch>
                        </pic:blipFill>
                        <pic:spPr>
                          <a:xfrm>
                            <a:off x="0" y="0"/>
                            <a:ext cx="2710815" cy="1617345"/>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2659380" cy="1642110"/>
                  <wp:effectExtent l="0" t="0" r="7620" b="15240"/>
                  <wp:docPr id="27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51.jpeg"/>
                          <pic:cNvPicPr>
                            <a:picLocks noChangeAspect="1"/>
                          </pic:cNvPicPr>
                        </pic:nvPicPr>
                        <pic:blipFill>
                          <a:blip r:embed="rId32" cstate="print"/>
                          <a:stretch>
                            <a:fillRect/>
                          </a:stretch>
                        </pic:blipFill>
                        <pic:spPr>
                          <a:xfrm>
                            <a:off x="0" y="0"/>
                            <a:ext cx="2659380" cy="1642110"/>
                          </a:xfrm>
                          <a:prstGeom prst="rect">
                            <a:avLst/>
                          </a:prstGeom>
                        </pic:spPr>
                      </pic:pic>
                    </a:graphicData>
                  </a:graphic>
                </wp:inline>
              </w:drawing>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消防用具栏</w: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安全宣讲台</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14" w:right="0" w:hanging="10" w:hangingChars="5"/>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672080" cy="1685925"/>
                  <wp:effectExtent l="0" t="0" r="13970" b="9525"/>
                  <wp:docPr id="274" name="图片 5" descr="消防展示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5" descr="消防展示柜.jpg"/>
                          <pic:cNvPicPr>
                            <a:picLocks noChangeAspect="1"/>
                          </pic:cNvPicPr>
                        </pic:nvPicPr>
                        <pic:blipFill>
                          <a:blip r:embed="rId33" cstate="print"/>
                          <a:stretch>
                            <a:fillRect/>
                          </a:stretch>
                        </pic:blipFill>
                        <pic:spPr>
                          <a:xfrm>
                            <a:off x="0" y="0"/>
                            <a:ext cx="2672080" cy="1685925"/>
                          </a:xfrm>
                          <a:prstGeom prst="rect">
                            <a:avLst/>
                          </a:prstGeom>
                        </pic:spPr>
                      </pic:pic>
                    </a:graphicData>
                  </a:graphic>
                </wp:inline>
              </w:drawing>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889250" cy="1671955"/>
                  <wp:effectExtent l="0" t="0" r="6350" b="4445"/>
                  <wp:docPr id="275" name="图片 275" descr="pm2022102414463926796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pm2022102414463926796182"/>
                          <pic:cNvPicPr>
                            <a:picLocks noChangeAspect="1"/>
                          </pic:cNvPicPr>
                        </pic:nvPicPr>
                        <pic:blipFill>
                          <a:blip r:embed="rId34"/>
                          <a:srcRect l="6390" r="2854"/>
                          <a:stretch>
                            <a:fillRect/>
                          </a:stretch>
                        </pic:blipFill>
                        <pic:spPr>
                          <a:xfrm>
                            <a:off x="0" y="0"/>
                            <a:ext cx="2889250" cy="1671955"/>
                          </a:xfrm>
                          <a:prstGeom prst="rect">
                            <a:avLst/>
                          </a:prstGeom>
                        </pic:spPr>
                      </pic:pic>
                    </a:graphicData>
                  </a:graphic>
                </wp:inline>
              </w:drawing>
            </w:r>
          </w:p>
        </w:tc>
      </w:tr>
      <w:tr>
        <w:trPr>
          <w:trHeight w:val="0" w:hRule="atLeast"/>
          <w:jc w:val="center"/>
        </w:trPr>
        <w:tc>
          <w:tcPr>
            <w:tcW w:w="9647" w:type="dxa"/>
            <w:gridSpan w:val="2"/>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样板展示区、安全展示区、安全体验区</w:t>
            </w:r>
          </w:p>
        </w:tc>
      </w:tr>
      <w:tr>
        <w:trPr>
          <w:trHeight w:val="0" w:hRule="atLeast"/>
          <w:jc w:val="center"/>
        </w:trPr>
        <w:tc>
          <w:tcPr>
            <w:tcW w:w="47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rPr>
            </w:pPr>
            <w:r>
              <w:rPr>
                <w:rFonts w:hint="eastAsia"/>
                <w:sz w:val="21"/>
                <w:szCs w:val="21"/>
              </w:rPr>
              <w:drawing>
                <wp:inline distT="0" distB="0" distL="114300" distR="114300">
                  <wp:extent cx="2849245" cy="1888490"/>
                  <wp:effectExtent l="0" t="0" r="8255" b="16510"/>
                  <wp:docPr id="276" name="图片 27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5"/>
                          <pic:cNvPicPr>
                            <a:picLocks noChangeAspect="1"/>
                          </pic:cNvPicPr>
                        </pic:nvPicPr>
                        <pic:blipFill>
                          <a:blip r:embed="rId35"/>
                          <a:stretch>
                            <a:fillRect/>
                          </a:stretch>
                        </pic:blipFill>
                        <pic:spPr>
                          <a:xfrm>
                            <a:off x="0" y="0"/>
                            <a:ext cx="2849245" cy="1888490"/>
                          </a:xfrm>
                          <a:prstGeom prst="rect">
                            <a:avLst/>
                          </a:prstGeom>
                        </pic:spPr>
                      </pic:pic>
                    </a:graphicData>
                  </a:graphic>
                </wp:inline>
              </w:drawing>
            </w:r>
            <w:r>
              <w:rPr>
                <w:rFonts w:hint="eastAsia" w:ascii="宋体" w:hAnsi="宋体" w:eastAsia="宋体" w:cs="宋体"/>
                <w:sz w:val="21"/>
                <w:szCs w:val="21"/>
              </w:rPr>
              <mc:AlternateContent>
                <mc:Choice Requires="wps">
                  <w:drawing>
                    <wp:anchor distT="0" distB="0" distL="114300" distR="114300" simplePos="0" relativeHeight="251662336" behindDoc="0" locked="0" layoutInCell="1" allowOverlap="1">
                      <wp:simplePos x="0" y="0"/>
                      <wp:positionH relativeFrom="column">
                        <wp:posOffset>2067560</wp:posOffset>
                      </wp:positionH>
                      <wp:positionV relativeFrom="paragraph">
                        <wp:posOffset>55245</wp:posOffset>
                      </wp:positionV>
                      <wp:extent cx="76200" cy="76200"/>
                      <wp:effectExtent l="0" t="0" r="0" b="0"/>
                      <wp:wrapNone/>
                      <wp:docPr id="890" name="圆角矩形 277"/>
                      <wp:cNvGraphicFramePr/>
                      <a:graphic xmlns:a="http://schemas.openxmlformats.org/drawingml/2006/main">
                        <a:graphicData uri="http://schemas.microsoft.com/office/word/2010/wordprocessingShape">
                          <wps:wsp>
                            <wps:cNvSpPr/>
                            <wps:spPr>
                              <a:xfrm>
                                <a:off x="0" y="0"/>
                                <a:ext cx="76200" cy="76200"/>
                              </a:xfrm>
                              <a:prstGeom prst="roundRect">
                                <a:avLst>
                                  <a:gd name="adj" fmla="val 23333"/>
                                </a:avLst>
                              </a:prstGeom>
                              <a:pattFill prst="dashDnDiag">
                                <a:fgClr>
                                  <a:srgbClr val="5B9BD5"/>
                                </a:fgClr>
                                <a:bgClr>
                                  <a:srgbClr val="FFFFFF"/>
                                </a:bgClr>
                              </a:pattFill>
                              <a:ln w="25400">
                                <a:noFill/>
                              </a:ln>
                            </wps:spPr>
                            <wps:bodyPr anchor="ctr" anchorCtr="0" upright="1"/>
                          </wps:wsp>
                        </a:graphicData>
                      </a:graphic>
                    </wp:anchor>
                  </w:drawing>
                </mc:Choice>
                <mc:Fallback>
                  <w:pict>
                    <v:roundrect id="圆角矩形 277" o:spid="_x0000_s1026" o:spt="2" style="position:absolute;left:0pt;margin-left:162.8pt;margin-top:4.35pt;height:6pt;width:6pt;z-index:251662336;v-text-anchor:middle;mso-width-relative:page;mso-height-relative:page;" fillcolor="#5B9BD5" filled="t" stroked="f" coordsize="21600,21600" arcsize="0.233333333333333" o:gfxdata="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dVZrn9cA&#10;AAAIAQAADwAAAAAAAAABACAAAAA4AAAAZHJzL2Rvd25yZXYueG1sUEsBAhQAFAAAAAgAh07iQFUt&#10;LvkKAgAACwQAAA4AAAAAAAAAAQAgAAAAPAEAAGRycy9lMm9Eb2MueG1sUEsFBgAAAAAGAAYAWQEA&#10;ALgFAAAAAA==&#10;">
                      <v:fill type="pattern" on="t" color2="#FFFFFF" o:title="下对角虚线" focussize="0,0" r:id="rId36"/>
                      <v:stroke on="f" weight="2pt"/>
                      <v:imagedata o:title=""/>
                      <o:lock v:ext="edit" aspectratio="f"/>
                    </v:roundrect>
                  </w:pict>
                </mc:Fallback>
              </mc:AlternateContent>
            </w:r>
          </w:p>
        </w:tc>
        <w:tc>
          <w:tcPr>
            <w:tcW w:w="489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drawing>
                <wp:inline distT="0" distB="0" distL="114300" distR="114300">
                  <wp:extent cx="1480185" cy="1838325"/>
                  <wp:effectExtent l="0" t="0" r="5715" b="9525"/>
                  <wp:docPr id="280" name="图片 2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1"/>
                          <pic:cNvPicPr>
                            <a:picLocks noChangeAspect="1"/>
                          </pic:cNvPicPr>
                        </pic:nvPicPr>
                        <pic:blipFill>
                          <a:blip r:embed="rId37"/>
                          <a:stretch>
                            <a:fillRect/>
                          </a:stretch>
                        </pic:blipFill>
                        <pic:spPr>
                          <a:xfrm>
                            <a:off x="0" y="0"/>
                            <a:ext cx="1480185" cy="1838325"/>
                          </a:xfrm>
                          <a:prstGeom prst="rect">
                            <a:avLst/>
                          </a:prstGeom>
                        </pic:spPr>
                      </pic:pic>
                    </a:graphicData>
                  </a:graphic>
                </wp:inline>
              </w:drawing>
            </w:r>
            <w:r>
              <w:rPr>
                <w:rFonts w:hint="eastAsia" w:ascii="宋体" w:hAnsi="宋体" w:eastAsia="宋体" w:cs="宋体"/>
                <w:sz w:val="21"/>
                <w:szCs w:val="21"/>
                <w:lang w:eastAsia="zh-CN"/>
              </w:rPr>
              <w:drawing>
                <wp:inline distT="0" distB="0" distL="114300" distR="114300">
                  <wp:extent cx="1425575" cy="1831975"/>
                  <wp:effectExtent l="0" t="0" r="3175" b="15875"/>
                  <wp:docPr id="279" name="图片 27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2"/>
                          <pic:cNvPicPr>
                            <a:picLocks noChangeAspect="1"/>
                          </pic:cNvPicPr>
                        </pic:nvPicPr>
                        <pic:blipFill>
                          <a:blip r:embed="rId38"/>
                          <a:stretch>
                            <a:fillRect/>
                          </a:stretch>
                        </pic:blipFill>
                        <pic:spPr>
                          <a:xfrm>
                            <a:off x="0" y="0"/>
                            <a:ext cx="1425575" cy="1831975"/>
                          </a:xfrm>
                          <a:prstGeom prst="rect">
                            <a:avLst/>
                          </a:prstGeom>
                        </pic:spPr>
                      </pic:pic>
                    </a:graphicData>
                  </a:graphic>
                </wp:inline>
              </w:drawing>
            </w:r>
          </w:p>
        </w:tc>
      </w:tr>
    </w:tbl>
    <w:p>
      <w:pPr>
        <w:pStyle w:val="4"/>
        <w:keepNext/>
        <w:keepLines w:val="0"/>
        <w:pageBreakBefore w:val="0"/>
        <w:widowControl w:val="0"/>
        <w:shd w:val="clear"/>
        <w:kinsoku/>
        <w:wordWrap/>
        <w:overflowPunct/>
        <w:topLinePunct w:val="0"/>
        <w:autoSpaceDE/>
        <w:autoSpaceDN/>
        <w:bidi w:val="0"/>
        <w:adjustRightInd w:val="0"/>
        <w:snapToGrid w:val="0"/>
        <w:spacing w:beforeLines="0" w:afterLines="0"/>
        <w:textAlignment w:val="auto"/>
        <w:rPr>
          <w:rFonts w:hint="eastAsia"/>
        </w:rPr>
      </w:pPr>
      <w:bookmarkStart w:id="40" w:name="_Toc27718"/>
      <w:r>
        <w:rPr>
          <w:rFonts w:hint="eastAsia"/>
        </w:rPr>
        <w:t>第</w:t>
      </w:r>
      <w:r>
        <w:rPr>
          <w:rFonts w:hint="eastAsia"/>
          <w:lang w:val="en-US" w:eastAsia="zh-CN"/>
        </w:rPr>
        <w:t>三</w:t>
      </w:r>
      <w:r>
        <w:rPr>
          <w:rFonts w:hint="eastAsia"/>
        </w:rPr>
        <w:t xml:space="preserve">节 </w:t>
      </w:r>
      <w:r>
        <w:rPr>
          <w:rFonts w:hint="eastAsia"/>
          <w:lang w:val="en-US" w:eastAsia="zh-CN"/>
        </w:rPr>
        <w:t xml:space="preserve"> 办公、</w:t>
      </w:r>
      <w:r>
        <w:rPr>
          <w:rFonts w:hint="eastAsia"/>
        </w:rPr>
        <w:t>生活区布置</w:t>
      </w:r>
      <w:bookmarkEnd w:id="35"/>
      <w:bookmarkEnd w:id="36"/>
      <w:bookmarkEnd w:id="37"/>
      <w:bookmarkEnd w:id="38"/>
      <w:bookmarkEnd w:id="39"/>
      <w:bookmarkEnd w:id="40"/>
    </w:p>
    <w:tbl>
      <w:tblPr>
        <w:tblStyle w:val="54"/>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819"/>
        <w:gridCol w:w="4961"/>
        <w:gridCol w:w="1"/>
      </w:tblGrid>
      <w:tr>
        <w:trPr>
          <w:trHeight w:val="0" w:hRule="atLeast"/>
          <w:jc w:val="center"/>
        </w:trPr>
        <w:tc>
          <w:tcPr>
            <w:tcW w:w="9781" w:type="dxa"/>
            <w:gridSpan w:val="3"/>
            <w:shd w:val="clear" w:color="auto" w:fill="auto"/>
            <w:vAlign w:val="center"/>
          </w:tcPr>
          <w:p>
            <w:pPr>
              <w:pStyle w:val="270"/>
              <w:keepNext w:val="0"/>
              <w:keepLines w:val="0"/>
              <w:suppressLineNumbers w:val="0"/>
              <w:shd w:val="clear"/>
              <w:spacing w:before="0" w:beforeAutospacing="0" w:after="0" w:afterAutospacing="0" w:line="300" w:lineRule="auto"/>
              <w:ind w:left="3561" w:right="3413"/>
              <w:jc w:val="center"/>
              <w:rPr>
                <w:b/>
                <w:sz w:val="21"/>
                <w:szCs w:val="21"/>
              </w:rPr>
            </w:pPr>
            <w:r>
              <w:rPr>
                <w:b/>
                <w:sz w:val="21"/>
                <w:szCs w:val="21"/>
              </w:rPr>
              <w:t>生活办公大临设施示意图</w:t>
            </w:r>
          </w:p>
        </w:tc>
      </w:tr>
      <w:tr>
        <w:trPr>
          <w:trHeight w:val="0" w:hRule="atLeast"/>
          <w:jc w:val="center"/>
        </w:trPr>
        <w:tc>
          <w:tcPr>
            <w:tcW w:w="9781" w:type="dxa"/>
            <w:gridSpan w:val="3"/>
            <w:shd w:val="clear" w:color="auto" w:fill="auto"/>
            <w:vAlign w:val="center"/>
          </w:tcPr>
          <w:p>
            <w:pPr>
              <w:pStyle w:val="270"/>
              <w:keepNext w:val="0"/>
              <w:keepLines w:val="0"/>
              <w:suppressLineNumbers w:val="0"/>
              <w:shd w:val="clear"/>
              <w:spacing w:before="0" w:beforeAutospacing="0" w:after="0" w:afterAutospacing="0" w:line="300" w:lineRule="auto"/>
              <w:ind w:left="0" w:right="-79"/>
              <w:jc w:val="center"/>
              <w:rPr>
                <w:sz w:val="21"/>
                <w:szCs w:val="21"/>
              </w:rPr>
            </w:pPr>
            <w:r>
              <w:rPr>
                <w:sz w:val="21"/>
                <w:szCs w:val="21"/>
              </w:rPr>
              <w:t>办公、生活大临</w:t>
            </w:r>
          </w:p>
        </w:tc>
      </w:tr>
      <w:tr>
        <w:trPr>
          <w:trHeight w:val="0" w:hRule="atLeast"/>
          <w:jc w:val="center"/>
        </w:trPr>
        <w:tc>
          <w:tcPr>
            <w:tcW w:w="9781" w:type="dxa"/>
            <w:gridSpan w:val="3"/>
            <w:shd w:val="clear" w:color="auto" w:fill="auto"/>
            <w:vAlign w:val="center"/>
          </w:tcPr>
          <w:p>
            <w:pPr>
              <w:pStyle w:val="270"/>
              <w:keepNext w:val="0"/>
              <w:keepLines w:val="0"/>
              <w:suppressLineNumbers w:val="0"/>
              <w:shd w:val="clear"/>
              <w:spacing w:before="0" w:beforeAutospacing="0" w:after="0" w:afterAutospacing="0" w:line="300" w:lineRule="auto"/>
              <w:ind w:left="17" w:right="0" w:hanging="14" w:hangingChars="7"/>
              <w:jc w:val="center"/>
              <w:rPr>
                <w:sz w:val="21"/>
                <w:szCs w:val="21"/>
              </w:rPr>
            </w:pPr>
            <w:r>
              <w:rPr>
                <w:rFonts w:hint="eastAsia"/>
                <w:sz w:val="21"/>
                <w:szCs w:val="21"/>
              </w:rPr>
              <w:drawing>
                <wp:inline distT="0" distB="0" distL="114300" distR="114300">
                  <wp:extent cx="3043555" cy="1697990"/>
                  <wp:effectExtent l="0" t="0" r="4445" b="16510"/>
                  <wp:docPr id="238" name="图片 238" descr="pm2022111009390853357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pm2022111009390853357489"/>
                          <pic:cNvPicPr>
                            <a:picLocks noChangeAspect="1"/>
                          </pic:cNvPicPr>
                        </pic:nvPicPr>
                        <pic:blipFill>
                          <a:blip r:embed="rId39"/>
                          <a:srcRect r="8380"/>
                          <a:stretch>
                            <a:fillRect/>
                          </a:stretch>
                        </pic:blipFill>
                        <pic:spPr>
                          <a:xfrm>
                            <a:off x="0" y="0"/>
                            <a:ext cx="3043555" cy="1697990"/>
                          </a:xfrm>
                          <a:prstGeom prst="rect">
                            <a:avLst/>
                          </a:prstGeom>
                        </pic:spPr>
                      </pic:pic>
                    </a:graphicData>
                  </a:graphic>
                </wp:inline>
              </w:drawing>
            </w:r>
            <w:r>
              <w:rPr>
                <w:rFonts w:hint="eastAsia"/>
                <w:sz w:val="21"/>
                <w:szCs w:val="21"/>
              </w:rPr>
              <w:drawing>
                <wp:inline distT="0" distB="0" distL="114300" distR="114300">
                  <wp:extent cx="3070860" cy="1711325"/>
                  <wp:effectExtent l="0" t="0" r="15240" b="3175"/>
                  <wp:docPr id="236" name="图片 236" descr="pm202211100938485333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pm2022111009384853337943"/>
                          <pic:cNvPicPr>
                            <a:picLocks noChangeAspect="1"/>
                          </pic:cNvPicPr>
                        </pic:nvPicPr>
                        <pic:blipFill>
                          <a:blip r:embed="rId40"/>
                          <a:stretch>
                            <a:fillRect/>
                          </a:stretch>
                        </pic:blipFill>
                        <pic:spPr>
                          <a:xfrm>
                            <a:off x="0" y="0"/>
                            <a:ext cx="3070860" cy="1711325"/>
                          </a:xfrm>
                          <a:prstGeom prst="rect">
                            <a:avLst/>
                          </a:prstGeom>
                        </pic:spPr>
                      </pic:pic>
                    </a:graphicData>
                  </a:graphic>
                </wp:inline>
              </w:drawing>
            </w:r>
          </w:p>
        </w:tc>
      </w:tr>
      <w:tr>
        <w:trPr>
          <w:trHeight w:val="0" w:hRule="atLeast"/>
          <w:jc w:val="center"/>
        </w:trPr>
        <w:tc>
          <w:tcPr>
            <w:tcW w:w="9781" w:type="dxa"/>
            <w:gridSpan w:val="3"/>
            <w:shd w:val="clear" w:color="auto" w:fill="auto"/>
            <w:vAlign w:val="center"/>
          </w:tcPr>
          <w:p>
            <w:pPr>
              <w:pStyle w:val="270"/>
              <w:keepNext w:val="0"/>
              <w:keepLines w:val="0"/>
              <w:suppressLineNumbers w:val="0"/>
              <w:shd w:val="clear"/>
              <w:spacing w:before="0" w:beforeAutospacing="0" w:after="0" w:afterAutospacing="0" w:line="300" w:lineRule="auto"/>
              <w:ind w:left="0" w:right="161"/>
              <w:jc w:val="center"/>
              <w:rPr>
                <w:sz w:val="21"/>
                <w:szCs w:val="21"/>
              </w:rPr>
            </w:pPr>
            <w:r>
              <w:rPr>
                <w:sz w:val="21"/>
                <w:szCs w:val="21"/>
              </w:rPr>
              <w:t>办公楼</w:t>
            </w:r>
          </w:p>
        </w:tc>
      </w:tr>
      <w:tr>
        <w:trPr>
          <w:trHeight w:val="0" w:hRule="atLeast"/>
          <w:jc w:val="center"/>
        </w:trPr>
        <w:tc>
          <w:tcPr>
            <w:tcW w:w="9781" w:type="dxa"/>
            <w:gridSpan w:val="3"/>
            <w:shd w:val="clear" w:color="auto" w:fill="auto"/>
          </w:tcPr>
          <w:p>
            <w:pPr>
              <w:pStyle w:val="270"/>
              <w:keepNext w:val="0"/>
              <w:keepLines w:val="0"/>
              <w:suppressLineNumbers w:val="0"/>
              <w:shd w:val="clear"/>
              <w:spacing w:before="0" w:beforeAutospacing="0" w:after="0" w:afterAutospacing="0" w:line="300" w:lineRule="auto"/>
              <w:ind w:left="12" w:right="0" w:hanging="10" w:hangingChars="5"/>
              <w:jc w:val="center"/>
              <w:rPr>
                <w:sz w:val="21"/>
                <w:szCs w:val="21"/>
              </w:rPr>
            </w:pPr>
            <w:r>
              <w:rPr>
                <w:sz w:val="21"/>
                <w:szCs w:val="21"/>
              </w:rPr>
              <w:drawing>
                <wp:inline distT="0" distB="0" distL="114300" distR="114300">
                  <wp:extent cx="3256280" cy="2037080"/>
                  <wp:effectExtent l="0" t="0" r="1270" b="1270"/>
                  <wp:docPr id="38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24"/>
                          <pic:cNvPicPr>
                            <a:picLocks noChangeAspect="1"/>
                          </pic:cNvPicPr>
                        </pic:nvPicPr>
                        <pic:blipFill>
                          <a:blip r:embed="rId41"/>
                          <a:stretch>
                            <a:fillRect/>
                          </a:stretch>
                        </pic:blipFill>
                        <pic:spPr>
                          <a:xfrm>
                            <a:off x="0" y="0"/>
                            <a:ext cx="3256280" cy="2037080"/>
                          </a:xfrm>
                          <a:prstGeom prst="rect">
                            <a:avLst/>
                          </a:prstGeom>
                          <a:noFill/>
                          <a:ln>
                            <a:noFill/>
                          </a:ln>
                        </pic:spPr>
                      </pic:pic>
                    </a:graphicData>
                  </a:graphic>
                </wp:inline>
              </w:drawing>
            </w:r>
            <w:r>
              <w:rPr>
                <w:sz w:val="21"/>
                <w:szCs w:val="21"/>
              </w:rPr>
              <w:drawing>
                <wp:inline distT="0" distB="0" distL="114300" distR="114300">
                  <wp:extent cx="2799080" cy="2053590"/>
                  <wp:effectExtent l="0" t="0" r="1270" b="3810"/>
                  <wp:docPr id="38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25"/>
                          <pic:cNvPicPr>
                            <a:picLocks noChangeAspect="1"/>
                          </pic:cNvPicPr>
                        </pic:nvPicPr>
                        <pic:blipFill>
                          <a:blip r:embed="rId42"/>
                          <a:stretch>
                            <a:fillRect/>
                          </a:stretch>
                        </pic:blipFill>
                        <pic:spPr>
                          <a:xfrm>
                            <a:off x="0" y="0"/>
                            <a:ext cx="2799080" cy="2053590"/>
                          </a:xfrm>
                          <a:prstGeom prst="rect">
                            <a:avLst/>
                          </a:prstGeom>
                          <a:noFill/>
                          <a:ln>
                            <a:noFill/>
                          </a:ln>
                        </pic:spPr>
                      </pic:pic>
                    </a:graphicData>
                  </a:graphic>
                </wp:inline>
              </w:drawing>
            </w:r>
          </w:p>
        </w:tc>
      </w:tr>
      <w:tr>
        <w:trPr>
          <w:trHeight w:val="0" w:hRule="atLeast"/>
          <w:jc w:val="center"/>
        </w:trPr>
        <w:tc>
          <w:tcPr>
            <w:tcW w:w="9781" w:type="dxa"/>
            <w:gridSpan w:val="3"/>
            <w:shd w:val="clear" w:color="auto" w:fill="auto"/>
            <w:vAlign w:val="center"/>
          </w:tcPr>
          <w:p>
            <w:pPr>
              <w:pStyle w:val="270"/>
              <w:keepNext w:val="0"/>
              <w:keepLines w:val="0"/>
              <w:suppressLineNumbers w:val="0"/>
              <w:shd w:val="clear"/>
              <w:spacing w:before="0" w:beforeAutospacing="0" w:after="0" w:afterAutospacing="0" w:line="300" w:lineRule="auto"/>
              <w:ind w:left="0" w:right="-79"/>
              <w:jc w:val="center"/>
              <w:rPr>
                <w:sz w:val="21"/>
                <w:szCs w:val="21"/>
              </w:rPr>
            </w:pPr>
            <w:r>
              <w:rPr>
                <w:sz w:val="21"/>
                <w:szCs w:val="21"/>
              </w:rPr>
              <w:t>宿舍楼</w:t>
            </w:r>
          </w:p>
        </w:tc>
      </w:tr>
      <w:tr>
        <w:trPr>
          <w:trHeight w:val="0" w:hRule="atLeast"/>
          <w:jc w:val="center"/>
        </w:trPr>
        <w:tc>
          <w:tcPr>
            <w:tcW w:w="9781" w:type="dxa"/>
            <w:gridSpan w:val="3"/>
            <w:shd w:val="clear" w:color="auto" w:fill="auto"/>
          </w:tcPr>
          <w:p>
            <w:pPr>
              <w:pStyle w:val="270"/>
              <w:keepNext w:val="0"/>
              <w:keepLines w:val="0"/>
              <w:suppressLineNumbers w:val="0"/>
              <w:shd w:val="clear"/>
              <w:spacing w:before="0" w:beforeAutospacing="0" w:after="0" w:afterAutospacing="0" w:line="300" w:lineRule="auto"/>
              <w:ind w:left="0" w:right="0" w:hanging="7"/>
              <w:jc w:val="center"/>
              <w:rPr>
                <w:sz w:val="21"/>
                <w:szCs w:val="21"/>
              </w:rPr>
            </w:pPr>
            <w:r>
              <w:rPr>
                <w:sz w:val="21"/>
                <w:szCs w:val="21"/>
              </w:rPr>
              <w:drawing>
                <wp:inline distT="0" distB="0" distL="0" distR="0">
                  <wp:extent cx="6029325" cy="2657475"/>
                  <wp:effectExtent l="0" t="0" r="9525" b="9525"/>
                  <wp:docPr id="171"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58.jpeg"/>
                          <pic:cNvPicPr>
                            <a:picLocks noChangeAspect="1"/>
                          </pic:cNvPicPr>
                        </pic:nvPicPr>
                        <pic:blipFill>
                          <a:blip r:embed="rId43" cstate="print"/>
                          <a:stretch>
                            <a:fillRect/>
                          </a:stretch>
                        </pic:blipFill>
                        <pic:spPr>
                          <a:xfrm>
                            <a:off x="0" y="0"/>
                            <a:ext cx="6029325" cy="2657475"/>
                          </a:xfrm>
                          <a:prstGeom prst="rect">
                            <a:avLst/>
                          </a:prstGeom>
                        </pic:spPr>
                      </pic:pic>
                    </a:graphicData>
                  </a:graphic>
                </wp:inline>
              </w:drawing>
            </w:r>
          </w:p>
        </w:tc>
      </w:tr>
      <w:tr>
        <w:trPr>
          <w:gridAfter w:val="1"/>
          <w:wAfter w:w="1" w:type="dxa"/>
          <w:trHeight w:val="0" w:hRule="atLeast"/>
          <w:jc w:val="center"/>
        </w:trPr>
        <w:tc>
          <w:tcPr>
            <w:tcW w:w="9780" w:type="dxa"/>
            <w:gridSpan w:val="2"/>
            <w:shd w:val="clear" w:color="auto" w:fill="auto"/>
            <w:vAlign w:val="center"/>
          </w:tcPr>
          <w:p>
            <w:pPr>
              <w:pStyle w:val="270"/>
              <w:keepNext w:val="0"/>
              <w:keepLines w:val="0"/>
              <w:suppressLineNumbers w:val="0"/>
              <w:shd w:val="clear"/>
              <w:spacing w:before="0" w:beforeAutospacing="0" w:after="0" w:afterAutospacing="0" w:line="300" w:lineRule="auto"/>
              <w:ind w:left="3802" w:right="3653"/>
              <w:jc w:val="center"/>
              <w:rPr>
                <w:b/>
                <w:sz w:val="21"/>
                <w:szCs w:val="21"/>
              </w:rPr>
            </w:pPr>
            <w:r>
              <w:rPr>
                <w:b/>
                <w:sz w:val="21"/>
                <w:szCs w:val="21"/>
              </w:rPr>
              <w:t>办公住宿示意图</w:t>
            </w:r>
          </w:p>
        </w:tc>
      </w:tr>
      <w:tr>
        <w:trPr>
          <w:gridAfter w:val="1"/>
          <w:wAfter w:w="1" w:type="dxa"/>
          <w:trHeight w:val="0" w:hRule="atLeast"/>
          <w:jc w:val="center"/>
        </w:trPr>
        <w:tc>
          <w:tcPr>
            <w:tcW w:w="4819" w:type="dxa"/>
            <w:shd w:val="clear" w:color="auto" w:fill="auto"/>
          </w:tcPr>
          <w:p>
            <w:pPr>
              <w:pStyle w:val="270"/>
              <w:keepNext w:val="0"/>
              <w:keepLines w:val="0"/>
              <w:suppressLineNumbers w:val="0"/>
              <w:shd w:val="clear"/>
              <w:spacing w:before="0" w:beforeAutospacing="0" w:after="0" w:afterAutospacing="0" w:line="300" w:lineRule="auto"/>
              <w:ind w:left="1507" w:right="0"/>
              <w:rPr>
                <w:sz w:val="21"/>
                <w:szCs w:val="21"/>
              </w:rPr>
            </w:pPr>
            <w:r>
              <w:rPr>
                <w:sz w:val="21"/>
                <w:szCs w:val="21"/>
              </w:rPr>
              <w:t xml:space="preserve">施工宿舍内部布置 </w:t>
            </w:r>
          </w:p>
        </w:tc>
        <w:tc>
          <w:tcPr>
            <w:tcW w:w="4961" w:type="dxa"/>
            <w:shd w:val="clear" w:color="auto" w:fill="auto"/>
          </w:tcPr>
          <w:p>
            <w:pPr>
              <w:pStyle w:val="270"/>
              <w:keepNext w:val="0"/>
              <w:keepLines w:val="0"/>
              <w:suppressLineNumbers w:val="0"/>
              <w:shd w:val="clear"/>
              <w:spacing w:before="0" w:beforeAutospacing="0" w:after="0" w:afterAutospacing="0" w:line="300" w:lineRule="auto"/>
              <w:ind w:left="1580" w:right="0"/>
              <w:rPr>
                <w:sz w:val="21"/>
                <w:szCs w:val="21"/>
              </w:rPr>
            </w:pPr>
            <w:r>
              <w:rPr>
                <w:sz w:val="21"/>
                <w:szCs w:val="21"/>
              </w:rPr>
              <w:t xml:space="preserve">职工宿舍内部布置 </w:t>
            </w:r>
          </w:p>
        </w:tc>
      </w:tr>
      <w:tr>
        <w:trPr>
          <w:gridAfter w:val="1"/>
          <w:wAfter w:w="1" w:type="dxa"/>
          <w:trHeight w:val="0" w:hRule="atLeast"/>
          <w:jc w:val="center"/>
        </w:trPr>
        <w:tc>
          <w:tcPr>
            <w:tcW w:w="4819" w:type="dxa"/>
            <w:shd w:val="clear" w:color="auto" w:fill="auto"/>
          </w:tcPr>
          <w:p>
            <w:pPr>
              <w:pStyle w:val="270"/>
              <w:keepNext w:val="0"/>
              <w:keepLines w:val="0"/>
              <w:suppressLineNumbers w:val="0"/>
              <w:shd w:val="clear"/>
              <w:spacing w:before="0" w:beforeAutospacing="0" w:after="0" w:afterAutospacing="0" w:line="300" w:lineRule="auto"/>
              <w:ind w:left="329" w:right="0" w:hanging="287" w:hangingChars="137"/>
              <w:rPr>
                <w:sz w:val="21"/>
                <w:szCs w:val="21"/>
              </w:rPr>
            </w:pPr>
            <w:r>
              <w:rPr>
                <w:sz w:val="21"/>
                <w:szCs w:val="21"/>
              </w:rPr>
              <w:drawing>
                <wp:inline distT="0" distB="0" distL="114300" distR="114300">
                  <wp:extent cx="3047365" cy="1767205"/>
                  <wp:effectExtent l="0" t="0" r="635" b="4445"/>
                  <wp:docPr id="38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27"/>
                          <pic:cNvPicPr>
                            <a:picLocks noChangeAspect="1"/>
                          </pic:cNvPicPr>
                        </pic:nvPicPr>
                        <pic:blipFill>
                          <a:blip r:embed="rId44"/>
                          <a:stretch>
                            <a:fillRect/>
                          </a:stretch>
                        </pic:blipFill>
                        <pic:spPr>
                          <a:xfrm>
                            <a:off x="0" y="0"/>
                            <a:ext cx="3047365" cy="1767205"/>
                          </a:xfrm>
                          <a:prstGeom prst="rect">
                            <a:avLst/>
                          </a:prstGeom>
                          <a:noFill/>
                          <a:ln>
                            <a:noFill/>
                          </a:ln>
                        </pic:spPr>
                      </pic:pic>
                    </a:graphicData>
                  </a:graphic>
                </wp:inline>
              </w:drawing>
            </w:r>
            <w:r>
              <w:rPr>
                <w:sz w:val="21"/>
                <w:szCs w:val="21"/>
              </w:rPr>
              <w:t xml:space="preserve"> </w:t>
            </w:r>
          </w:p>
        </w:tc>
        <w:tc>
          <w:tcPr>
            <w:tcW w:w="4961" w:type="dxa"/>
            <w:shd w:val="clear" w:color="auto" w:fill="auto"/>
          </w:tcPr>
          <w:p>
            <w:pPr>
              <w:pStyle w:val="270"/>
              <w:keepNext w:val="0"/>
              <w:keepLines w:val="0"/>
              <w:suppressLineNumbers w:val="0"/>
              <w:shd w:val="clear"/>
              <w:spacing w:before="0" w:beforeAutospacing="0" w:after="0" w:afterAutospacing="0" w:line="300" w:lineRule="auto"/>
              <w:ind w:left="0" w:right="149"/>
              <w:jc w:val="right"/>
              <w:rPr>
                <w:sz w:val="21"/>
                <w:szCs w:val="21"/>
              </w:rPr>
            </w:pPr>
            <w:r>
              <w:rPr>
                <w:sz w:val="21"/>
                <w:szCs w:val="21"/>
              </w:rPr>
              <w:drawing>
                <wp:inline distT="0" distB="0" distL="114300" distR="114300">
                  <wp:extent cx="3096895" cy="1765300"/>
                  <wp:effectExtent l="0" t="0" r="8255" b="6350"/>
                  <wp:docPr id="39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28"/>
                          <pic:cNvPicPr>
                            <a:picLocks noChangeAspect="1"/>
                          </pic:cNvPicPr>
                        </pic:nvPicPr>
                        <pic:blipFill>
                          <a:blip r:embed="rId45"/>
                          <a:stretch>
                            <a:fillRect/>
                          </a:stretch>
                        </pic:blipFill>
                        <pic:spPr>
                          <a:xfrm>
                            <a:off x="0" y="0"/>
                            <a:ext cx="3096895" cy="1765300"/>
                          </a:xfrm>
                          <a:prstGeom prst="rect">
                            <a:avLst/>
                          </a:prstGeom>
                          <a:noFill/>
                          <a:ln>
                            <a:noFill/>
                          </a:ln>
                        </pic:spPr>
                      </pic:pic>
                    </a:graphicData>
                  </a:graphic>
                </wp:inline>
              </w:drawing>
            </w:r>
            <w:r>
              <w:rPr>
                <w:sz w:val="21"/>
                <w:szCs w:val="21"/>
              </w:rPr>
              <w:t xml:space="preserve"> </w:t>
            </w:r>
          </w:p>
        </w:tc>
      </w:tr>
      <w:tr>
        <w:trPr>
          <w:gridAfter w:val="1"/>
          <w:wAfter w:w="1" w:type="dxa"/>
          <w:trHeight w:val="0" w:hRule="atLeast"/>
          <w:jc w:val="center"/>
        </w:trPr>
        <w:tc>
          <w:tcPr>
            <w:tcW w:w="4819" w:type="dxa"/>
            <w:shd w:val="clear" w:color="auto" w:fill="auto"/>
          </w:tcPr>
          <w:p>
            <w:pPr>
              <w:pStyle w:val="270"/>
              <w:keepNext w:val="0"/>
              <w:keepLines w:val="0"/>
              <w:suppressLineNumbers w:val="0"/>
              <w:shd w:val="clear"/>
              <w:spacing w:before="0" w:beforeAutospacing="0" w:after="0" w:afterAutospacing="0" w:line="300" w:lineRule="auto"/>
              <w:ind w:left="1902" w:right="1659"/>
              <w:jc w:val="center"/>
              <w:rPr>
                <w:sz w:val="21"/>
                <w:szCs w:val="21"/>
              </w:rPr>
            </w:pPr>
            <w:r>
              <w:rPr>
                <w:sz w:val="21"/>
                <w:szCs w:val="21"/>
              </w:rPr>
              <w:t xml:space="preserve">职工活动室 </w:t>
            </w:r>
          </w:p>
        </w:tc>
        <w:tc>
          <w:tcPr>
            <w:tcW w:w="4961" w:type="dxa"/>
            <w:shd w:val="clear" w:color="auto" w:fill="auto"/>
          </w:tcPr>
          <w:p>
            <w:pPr>
              <w:pStyle w:val="270"/>
              <w:keepNext w:val="0"/>
              <w:keepLines w:val="0"/>
              <w:suppressLineNumbers w:val="0"/>
              <w:shd w:val="clear"/>
              <w:spacing w:before="0" w:beforeAutospacing="0" w:after="0" w:afterAutospacing="0" w:line="300" w:lineRule="auto"/>
              <w:ind w:left="1978" w:right="1725"/>
              <w:jc w:val="center"/>
              <w:rPr>
                <w:sz w:val="21"/>
                <w:szCs w:val="21"/>
              </w:rPr>
            </w:pPr>
            <w:r>
              <w:rPr>
                <w:sz w:val="21"/>
                <w:szCs w:val="21"/>
              </w:rPr>
              <w:t xml:space="preserve">职工餐厅 </w:t>
            </w:r>
          </w:p>
        </w:tc>
      </w:tr>
      <w:tr>
        <w:trPr>
          <w:gridAfter w:val="1"/>
          <w:wAfter w:w="1" w:type="dxa"/>
          <w:trHeight w:val="0" w:hRule="atLeast"/>
          <w:jc w:val="center"/>
        </w:trPr>
        <w:tc>
          <w:tcPr>
            <w:tcW w:w="4819" w:type="dxa"/>
            <w:shd w:val="clear" w:color="auto" w:fill="auto"/>
          </w:tcPr>
          <w:p>
            <w:pPr>
              <w:pStyle w:val="270"/>
              <w:keepNext w:val="0"/>
              <w:keepLines w:val="0"/>
              <w:suppressLineNumbers w:val="0"/>
              <w:shd w:val="clear"/>
              <w:spacing w:before="0" w:beforeAutospacing="0" w:after="0" w:afterAutospacing="0" w:line="300" w:lineRule="auto"/>
              <w:ind w:left="17" w:right="0" w:hanging="14" w:hangingChars="7"/>
              <w:rPr>
                <w:sz w:val="21"/>
                <w:szCs w:val="21"/>
              </w:rPr>
            </w:pPr>
            <w:r>
              <w:rPr>
                <w:sz w:val="21"/>
                <w:szCs w:val="21"/>
              </w:rPr>
              <w:drawing>
                <wp:inline distT="0" distB="0" distL="114300" distR="114300">
                  <wp:extent cx="2982595" cy="2050415"/>
                  <wp:effectExtent l="0" t="0" r="8255" b="6985"/>
                  <wp:docPr id="39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0"/>
                          <pic:cNvPicPr>
                            <a:picLocks noChangeAspect="1"/>
                          </pic:cNvPicPr>
                        </pic:nvPicPr>
                        <pic:blipFill>
                          <a:blip r:embed="rId46"/>
                          <a:stretch>
                            <a:fillRect/>
                          </a:stretch>
                        </pic:blipFill>
                        <pic:spPr>
                          <a:xfrm>
                            <a:off x="0" y="0"/>
                            <a:ext cx="2982595" cy="2050415"/>
                          </a:xfrm>
                          <a:prstGeom prst="rect">
                            <a:avLst/>
                          </a:prstGeom>
                          <a:noFill/>
                          <a:ln>
                            <a:noFill/>
                          </a:ln>
                        </pic:spPr>
                      </pic:pic>
                    </a:graphicData>
                  </a:graphic>
                </wp:inline>
              </w:drawing>
            </w:r>
          </w:p>
        </w:tc>
        <w:tc>
          <w:tcPr>
            <w:tcW w:w="4961" w:type="dxa"/>
            <w:shd w:val="clear" w:color="auto" w:fill="auto"/>
          </w:tcPr>
          <w:p>
            <w:pPr>
              <w:pStyle w:val="270"/>
              <w:keepNext w:val="0"/>
              <w:keepLines w:val="0"/>
              <w:suppressLineNumbers w:val="0"/>
              <w:shd w:val="clear"/>
              <w:spacing w:before="0" w:beforeAutospacing="0" w:after="0" w:afterAutospacing="0" w:line="300" w:lineRule="auto"/>
              <w:ind w:left="0" w:right="197"/>
              <w:jc w:val="right"/>
              <w:rPr>
                <w:sz w:val="21"/>
                <w:szCs w:val="21"/>
              </w:rPr>
            </w:pPr>
            <w:r>
              <w:rPr>
                <w:sz w:val="21"/>
                <w:szCs w:val="21"/>
              </w:rPr>
              <w:drawing>
                <wp:inline distT="0" distB="0" distL="114300" distR="114300">
                  <wp:extent cx="2973070" cy="2009140"/>
                  <wp:effectExtent l="0" t="0" r="17780" b="10160"/>
                  <wp:docPr id="39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29"/>
                          <pic:cNvPicPr>
                            <a:picLocks noChangeAspect="1"/>
                          </pic:cNvPicPr>
                        </pic:nvPicPr>
                        <pic:blipFill>
                          <a:blip r:embed="rId47"/>
                          <a:stretch>
                            <a:fillRect/>
                          </a:stretch>
                        </pic:blipFill>
                        <pic:spPr>
                          <a:xfrm>
                            <a:off x="0" y="0"/>
                            <a:ext cx="2973070" cy="2009140"/>
                          </a:xfrm>
                          <a:prstGeom prst="rect">
                            <a:avLst/>
                          </a:prstGeom>
                          <a:noFill/>
                          <a:ln>
                            <a:noFill/>
                          </a:ln>
                        </pic:spPr>
                      </pic:pic>
                    </a:graphicData>
                  </a:graphic>
                </wp:inline>
              </w:drawing>
            </w:r>
            <w:r>
              <w:rPr>
                <w:sz w:val="21"/>
                <w:szCs w:val="21"/>
              </w:rPr>
              <w:t xml:space="preserve"> </w:t>
            </w:r>
          </w:p>
        </w:tc>
      </w:tr>
      <w:tr>
        <w:trPr>
          <w:gridAfter w:val="1"/>
          <w:wAfter w:w="1" w:type="dxa"/>
          <w:trHeight w:val="0" w:hRule="atLeast"/>
          <w:jc w:val="center"/>
        </w:trPr>
        <w:tc>
          <w:tcPr>
            <w:tcW w:w="4819" w:type="dxa"/>
            <w:shd w:val="clear" w:color="auto" w:fill="auto"/>
            <w:vAlign w:val="center"/>
          </w:tcPr>
          <w:p>
            <w:pPr>
              <w:pStyle w:val="270"/>
              <w:keepNext w:val="0"/>
              <w:keepLines w:val="0"/>
              <w:suppressLineNumbers w:val="0"/>
              <w:shd w:val="clear"/>
              <w:spacing w:before="0" w:beforeAutospacing="0" w:after="0" w:afterAutospacing="0" w:line="300" w:lineRule="auto"/>
              <w:ind w:left="1902" w:right="1656"/>
              <w:jc w:val="center"/>
              <w:rPr>
                <w:sz w:val="21"/>
                <w:szCs w:val="21"/>
              </w:rPr>
            </w:pPr>
            <w:r>
              <w:rPr>
                <w:sz w:val="21"/>
                <w:szCs w:val="21"/>
              </w:rPr>
              <w:t>职工淋浴房</w:t>
            </w:r>
          </w:p>
        </w:tc>
        <w:tc>
          <w:tcPr>
            <w:tcW w:w="4961" w:type="dxa"/>
            <w:shd w:val="clear" w:color="auto" w:fill="auto"/>
            <w:vAlign w:val="center"/>
          </w:tcPr>
          <w:p>
            <w:pPr>
              <w:pStyle w:val="270"/>
              <w:keepNext w:val="0"/>
              <w:keepLines w:val="0"/>
              <w:suppressLineNumbers w:val="0"/>
              <w:shd w:val="clear"/>
              <w:spacing w:before="0" w:beforeAutospacing="0" w:after="0" w:afterAutospacing="0" w:line="300" w:lineRule="auto"/>
              <w:ind w:left="1975" w:right="1725"/>
              <w:jc w:val="center"/>
              <w:rPr>
                <w:sz w:val="21"/>
                <w:szCs w:val="21"/>
              </w:rPr>
            </w:pPr>
            <w:r>
              <w:rPr>
                <w:sz w:val="21"/>
                <w:szCs w:val="21"/>
              </w:rPr>
              <w:t>食堂操作间</w:t>
            </w:r>
          </w:p>
        </w:tc>
      </w:tr>
      <w:tr>
        <w:trPr>
          <w:gridAfter w:val="1"/>
          <w:wAfter w:w="1" w:type="dxa"/>
          <w:trHeight w:val="0" w:hRule="atLeast"/>
          <w:jc w:val="center"/>
        </w:trPr>
        <w:tc>
          <w:tcPr>
            <w:tcW w:w="4819" w:type="dxa"/>
            <w:shd w:val="clear" w:color="auto" w:fill="auto"/>
          </w:tcPr>
          <w:p>
            <w:pPr>
              <w:pStyle w:val="270"/>
              <w:keepNext w:val="0"/>
              <w:keepLines w:val="0"/>
              <w:suppressLineNumbers w:val="0"/>
              <w:shd w:val="clear"/>
              <w:spacing w:before="0" w:beforeAutospacing="0" w:after="0" w:afterAutospacing="0" w:line="300" w:lineRule="auto"/>
              <w:ind w:left="353" w:right="0" w:hanging="308" w:hangingChars="147"/>
              <w:rPr>
                <w:sz w:val="21"/>
                <w:szCs w:val="21"/>
              </w:rPr>
            </w:pPr>
            <w:r>
              <w:rPr>
                <w:sz w:val="21"/>
                <w:szCs w:val="21"/>
              </w:rPr>
              <w:drawing>
                <wp:inline distT="0" distB="0" distL="114300" distR="114300">
                  <wp:extent cx="2981960" cy="2050415"/>
                  <wp:effectExtent l="0" t="0" r="8890" b="6985"/>
                  <wp:docPr id="39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1"/>
                          <pic:cNvPicPr>
                            <a:picLocks noChangeAspect="1"/>
                          </pic:cNvPicPr>
                        </pic:nvPicPr>
                        <pic:blipFill>
                          <a:blip r:embed="rId48"/>
                          <a:stretch>
                            <a:fillRect/>
                          </a:stretch>
                        </pic:blipFill>
                        <pic:spPr>
                          <a:xfrm>
                            <a:off x="0" y="0"/>
                            <a:ext cx="2981960" cy="2050415"/>
                          </a:xfrm>
                          <a:prstGeom prst="rect">
                            <a:avLst/>
                          </a:prstGeom>
                          <a:noFill/>
                          <a:ln>
                            <a:noFill/>
                          </a:ln>
                        </pic:spPr>
                      </pic:pic>
                    </a:graphicData>
                  </a:graphic>
                </wp:inline>
              </w:drawing>
            </w:r>
            <w:r>
              <w:rPr>
                <w:sz w:val="21"/>
                <w:szCs w:val="21"/>
              </w:rPr>
              <w:t xml:space="preserve"> </w:t>
            </w:r>
          </w:p>
        </w:tc>
        <w:tc>
          <w:tcPr>
            <w:tcW w:w="4961" w:type="dxa"/>
            <w:shd w:val="clear" w:color="auto" w:fill="auto"/>
          </w:tcPr>
          <w:p>
            <w:pPr>
              <w:pStyle w:val="270"/>
              <w:keepNext w:val="0"/>
              <w:keepLines w:val="0"/>
              <w:suppressLineNumbers w:val="0"/>
              <w:shd w:val="clear"/>
              <w:spacing w:before="0" w:beforeAutospacing="0" w:after="0" w:afterAutospacing="0" w:line="300" w:lineRule="auto"/>
              <w:ind w:left="0" w:right="143"/>
              <w:jc w:val="center"/>
              <w:rPr>
                <w:sz w:val="21"/>
                <w:szCs w:val="21"/>
              </w:rPr>
            </w:pPr>
            <w:r>
              <w:rPr>
                <w:sz w:val="21"/>
                <w:szCs w:val="21"/>
              </w:rPr>
              <w:drawing>
                <wp:inline distT="0" distB="0" distL="0" distR="0">
                  <wp:extent cx="2731135" cy="2027555"/>
                  <wp:effectExtent l="0" t="0" r="12065" b="10795"/>
                  <wp:docPr id="340"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64.jpeg"/>
                          <pic:cNvPicPr>
                            <a:picLocks noChangeAspect="1"/>
                          </pic:cNvPicPr>
                        </pic:nvPicPr>
                        <pic:blipFill>
                          <a:blip r:embed="rId49" cstate="print"/>
                          <a:stretch>
                            <a:fillRect/>
                          </a:stretch>
                        </pic:blipFill>
                        <pic:spPr>
                          <a:xfrm>
                            <a:off x="0" y="0"/>
                            <a:ext cx="2731135" cy="2027555"/>
                          </a:xfrm>
                          <a:prstGeom prst="rect">
                            <a:avLst/>
                          </a:prstGeom>
                        </pic:spPr>
                      </pic:pic>
                    </a:graphicData>
                  </a:graphic>
                </wp:inline>
              </w:drawing>
            </w:r>
          </w:p>
        </w:tc>
      </w:tr>
    </w:tbl>
    <w:p>
      <w:pPr>
        <w:pStyle w:val="4"/>
        <w:shd w:val="clear"/>
        <w:bidi w:val="0"/>
      </w:pPr>
      <w:bookmarkStart w:id="41" w:name="_Toc3494"/>
      <w:r>
        <w:rPr>
          <w:rFonts w:hint="eastAsia"/>
        </w:rPr>
        <w:t>第</w:t>
      </w:r>
      <w:r>
        <w:rPr>
          <w:rFonts w:hint="eastAsia"/>
          <w:lang w:val="en-US" w:eastAsia="zh-CN"/>
        </w:rPr>
        <w:t>四</w:t>
      </w:r>
      <w:r>
        <w:rPr>
          <w:rFonts w:hint="eastAsia"/>
        </w:rPr>
        <w:t>节  施工</w:t>
      </w:r>
      <w:r>
        <w:rPr>
          <w:rFonts w:hint="eastAsia"/>
          <w:lang w:val="en-US" w:eastAsia="zh-CN"/>
        </w:rPr>
        <w:t>场地</w:t>
      </w:r>
      <w:r>
        <w:rPr>
          <w:rFonts w:hint="eastAsia"/>
        </w:rPr>
        <w:t>内外交通组织方案</w:t>
      </w:r>
      <w:bookmarkEnd w:id="41"/>
    </w:p>
    <w:p>
      <w:pPr>
        <w:widowControl/>
        <w:shd w:val="clear"/>
        <w:spacing w:line="360" w:lineRule="auto"/>
        <w:ind w:firstLine="480" w:firstLineChars="200"/>
        <w:outlineLvl w:val="2"/>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一、交通组织</w:t>
      </w:r>
    </w:p>
    <w:p>
      <w:pPr>
        <w:pStyle w:val="2"/>
        <w:shd w:val="clear"/>
        <w:tabs>
          <w:tab w:val="left" w:pos="522"/>
        </w:tabs>
        <w:spacing w:line="300" w:lineRule="auto"/>
        <w:ind w:left="0" w:firstLine="0"/>
        <w:outlineLvl w:val="3"/>
        <w:rPr>
          <w:b/>
        </w:rPr>
      </w:pPr>
      <w:r>
        <w:rPr>
          <w:rFonts w:hint="eastAsia"/>
          <w:b/>
          <w:lang w:val="en-US"/>
        </w:rPr>
        <w:t>1、</w:t>
      </w:r>
      <w:r>
        <w:rPr>
          <w:b/>
        </w:rPr>
        <w:t xml:space="preserve">施工大门及临时道路布置 </w:t>
      </w:r>
    </w:p>
    <w:p>
      <w:pPr>
        <w:pStyle w:val="2"/>
        <w:shd w:val="clear"/>
        <w:tabs>
          <w:tab w:val="left" w:pos="522"/>
        </w:tabs>
        <w:spacing w:line="300" w:lineRule="auto"/>
        <w:ind w:left="0" w:firstLine="0"/>
        <w:rPr>
          <w:b/>
          <w:color w:val="auto"/>
        </w:rPr>
      </w:pPr>
      <w:r>
        <w:rPr>
          <w:color w:val="auto"/>
        </w:rPr>
        <w:t xml:space="preserve">本工程计划开设 </w:t>
      </w:r>
      <w:r>
        <w:rPr>
          <w:rFonts w:hint="eastAsia"/>
          <w:color w:val="auto"/>
          <w:lang w:val="en-US" w:eastAsia="zh-CN"/>
        </w:rPr>
        <w:t>2</w:t>
      </w:r>
      <w:r>
        <w:rPr>
          <w:color w:val="auto"/>
        </w:rPr>
        <w:t xml:space="preserve"> 个施工大门，</w:t>
      </w:r>
      <w:r>
        <w:rPr>
          <w:rFonts w:hint="eastAsia"/>
          <w:color w:val="auto"/>
          <w:lang w:val="en-US" w:eastAsia="zh-CN"/>
        </w:rPr>
        <w:t>主出入口</w:t>
      </w:r>
      <w:r>
        <w:rPr>
          <w:rFonts w:hint="eastAsia"/>
          <w:color w:val="auto"/>
        </w:rPr>
        <w:t>布置在</w:t>
      </w:r>
      <w:r>
        <w:rPr>
          <w:rFonts w:hint="eastAsia"/>
          <w:color w:val="auto"/>
          <w:u w:val="none"/>
          <w:lang w:val="en-US" w:eastAsia="zh-CN"/>
        </w:rPr>
        <w:t>西侧姜湖路</w:t>
      </w:r>
      <w:r>
        <w:rPr>
          <w:color w:val="auto"/>
        </w:rPr>
        <w:t>，</w:t>
      </w:r>
      <w:r>
        <w:rPr>
          <w:rFonts w:hint="eastAsia"/>
          <w:color w:val="auto"/>
          <w:lang w:val="en-US" w:eastAsia="zh-CN"/>
        </w:rPr>
        <w:t>此出入口布置在南侧长阳路，</w:t>
      </w:r>
      <w:r>
        <w:rPr>
          <w:color w:val="auto"/>
        </w:rPr>
        <w:t>施工大门旁边设置实名制通道和洗车台，具体如下示意图：</w:t>
      </w:r>
    </w:p>
    <w:tbl>
      <w:tblPr>
        <w:tblStyle w:val="55"/>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686"/>
      </w:tblGrid>
      <w:tr>
        <w:trPr>
          <w:jc w:val="center"/>
        </w:trPr>
        <w:tc>
          <w:tcPr>
            <w:tcW w:w="9686"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sz w:val="21"/>
                <w:szCs w:val="21"/>
              </w:rPr>
            </w:pPr>
            <w:r>
              <w:rPr>
                <w:sz w:val="21"/>
                <w:szCs w:val="21"/>
              </w:rPr>
              <w:drawing>
                <wp:inline distT="0" distB="0" distL="114300" distR="114300">
                  <wp:extent cx="5956300" cy="2397125"/>
                  <wp:effectExtent l="0" t="0" r="6350" b="3175"/>
                  <wp:docPr id="36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9"/>
                          <pic:cNvPicPr>
                            <a:picLocks noChangeAspect="1"/>
                          </pic:cNvPicPr>
                        </pic:nvPicPr>
                        <pic:blipFill>
                          <a:blip r:embed="rId50"/>
                          <a:stretch>
                            <a:fillRect/>
                          </a:stretch>
                        </pic:blipFill>
                        <pic:spPr>
                          <a:xfrm>
                            <a:off x="0" y="0"/>
                            <a:ext cx="5956300" cy="2397125"/>
                          </a:xfrm>
                          <a:prstGeom prst="rect">
                            <a:avLst/>
                          </a:prstGeom>
                          <a:noFill/>
                          <a:ln>
                            <a:noFill/>
                          </a:ln>
                        </pic:spPr>
                      </pic:pic>
                    </a:graphicData>
                  </a:graphic>
                </wp:inline>
              </w:drawing>
            </w:r>
          </w:p>
        </w:tc>
      </w:tr>
      <w:tr>
        <w:trPr>
          <w:jc w:val="center"/>
        </w:trPr>
        <w:tc>
          <w:tcPr>
            <w:tcW w:w="9686" w:type="dxa"/>
            <w:shd w:val="clear" w:color="auto" w:fill="auto"/>
          </w:tcPr>
          <w:p>
            <w:pPr>
              <w:keepNext w:val="0"/>
              <w:keepLines w:val="0"/>
              <w:suppressLineNumbers w:val="0"/>
              <w:shd w:val="clear"/>
              <w:kinsoku/>
              <w:wordWrap/>
              <w:bidi w:val="0"/>
              <w:snapToGrid w:val="0"/>
              <w:spacing w:before="0" w:beforeAutospacing="0" w:after="0" w:afterAutospacing="0" w:line="24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工程施工大门效果图</w:t>
            </w:r>
          </w:p>
        </w:tc>
      </w:tr>
      <w:tr>
        <w:trPr>
          <w:jc w:val="center"/>
        </w:trPr>
        <w:tc>
          <w:tcPr>
            <w:tcW w:w="9686"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sz w:val="21"/>
                <w:szCs w:val="21"/>
              </w:rPr>
            </w:pPr>
            <w:r>
              <w:rPr>
                <w:sz w:val="21"/>
                <w:szCs w:val="21"/>
              </w:rPr>
              <w:drawing>
                <wp:inline distT="0" distB="0" distL="114300" distR="114300">
                  <wp:extent cx="5886450" cy="2964815"/>
                  <wp:effectExtent l="0" t="0" r="0" b="6985"/>
                  <wp:docPr id="25" name="图片 16" descr="DSC0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descr="DSC05973"/>
                          <pic:cNvPicPr>
                            <a:picLocks noChangeAspect="1"/>
                          </pic:cNvPicPr>
                        </pic:nvPicPr>
                        <pic:blipFill>
                          <a:blip r:embed="rId51"/>
                          <a:stretch>
                            <a:fillRect/>
                          </a:stretch>
                        </pic:blipFill>
                        <pic:spPr>
                          <a:xfrm>
                            <a:off x="0" y="0"/>
                            <a:ext cx="5886450" cy="2964815"/>
                          </a:xfrm>
                          <a:prstGeom prst="rect">
                            <a:avLst/>
                          </a:prstGeom>
                          <a:noFill/>
                          <a:ln>
                            <a:noFill/>
                          </a:ln>
                        </pic:spPr>
                      </pic:pic>
                    </a:graphicData>
                  </a:graphic>
                </wp:inline>
              </w:drawing>
            </w:r>
          </w:p>
        </w:tc>
      </w:tr>
      <w:tr>
        <w:trPr>
          <w:jc w:val="center"/>
        </w:trPr>
        <w:tc>
          <w:tcPr>
            <w:tcW w:w="9686" w:type="dxa"/>
            <w:shd w:val="clear" w:color="auto" w:fill="auto"/>
          </w:tcPr>
          <w:p>
            <w:pPr>
              <w:keepNext w:val="0"/>
              <w:keepLines w:val="0"/>
              <w:suppressLineNumbers w:val="0"/>
              <w:shd w:val="clear"/>
              <w:bidi w:val="0"/>
              <w:spacing w:before="0" w:beforeAutospacing="0" w:after="0" w:afterAutospacing="0" w:line="240" w:lineRule="auto"/>
              <w:ind w:left="0" w:right="0"/>
              <w:jc w:val="center"/>
              <w:rPr>
                <w:rFonts w:hint="eastAsia"/>
                <w:b/>
                <w:bCs/>
                <w:sz w:val="21"/>
                <w:szCs w:val="21"/>
              </w:rPr>
            </w:pPr>
            <w:r>
              <w:rPr>
                <w:rFonts w:hint="eastAsia"/>
                <w:b/>
                <w:bCs/>
                <w:sz w:val="21"/>
                <w:szCs w:val="21"/>
              </w:rPr>
              <w:t>出入口洗车台示意图</w:t>
            </w:r>
          </w:p>
        </w:tc>
      </w:tr>
    </w:tbl>
    <w:p>
      <w:pPr>
        <w:pStyle w:val="7"/>
        <w:shd w:val="clear"/>
        <w:tabs>
          <w:tab w:val="left" w:pos="522"/>
        </w:tabs>
        <w:spacing w:line="300" w:lineRule="auto"/>
        <w:ind w:left="0" w:firstLine="480" w:firstLineChars="200"/>
        <w:outlineLvl w:val="3"/>
      </w:pPr>
      <w:r>
        <w:rPr>
          <w:rFonts w:hint="eastAsia"/>
          <w:b/>
          <w:bCs/>
          <w:sz w:val="24"/>
          <w:szCs w:val="22"/>
          <w:lang w:val="en-US"/>
        </w:rPr>
        <w:t>2、</w:t>
      </w:r>
      <w:r>
        <w:rPr>
          <w:b/>
          <w:bCs/>
          <w:sz w:val="24"/>
          <w:szCs w:val="22"/>
        </w:rPr>
        <w:t>场外交通道路路线</w:t>
      </w:r>
      <w:r>
        <w:t xml:space="preserve"> </w:t>
      </w:r>
    </w:p>
    <w:p>
      <w:pPr>
        <w:pStyle w:val="253"/>
        <w:shd w:val="clear"/>
        <w:spacing w:line="300" w:lineRule="auto"/>
        <w:ind w:firstLine="480" w:firstLineChars="200"/>
        <w:rPr>
          <w:color w:val="auto"/>
        </w:rPr>
      </w:pPr>
      <w:r>
        <w:t>路线 1 ：</w:t>
      </w:r>
      <w:r>
        <w:rPr>
          <w:rFonts w:hint="eastAsia"/>
          <w:color w:val="auto"/>
          <w:lang w:val="en-US" w:eastAsia="zh-CN"/>
        </w:rPr>
        <w:t>长阳</w:t>
      </w:r>
      <w:r>
        <w:rPr>
          <w:rFonts w:hint="eastAsia"/>
          <w:color w:val="auto"/>
        </w:rPr>
        <w:t>路</w:t>
      </w:r>
      <w:r>
        <w:rPr>
          <w:color w:val="auto"/>
        </w:rPr>
        <w:t>→</w:t>
      </w:r>
      <w:r>
        <w:rPr>
          <w:rFonts w:hint="eastAsia"/>
          <w:color w:val="auto"/>
          <w:lang w:val="en-US" w:eastAsia="zh-CN"/>
        </w:rPr>
        <w:t>姜湖路</w:t>
      </w:r>
      <w:r>
        <w:rPr>
          <w:color w:val="auto"/>
        </w:rPr>
        <w:t>→本工程施工大门。</w:t>
      </w:r>
    </w:p>
    <w:tbl>
      <w:tblPr>
        <w:tblStyle w:val="54"/>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35"/>
        <w:gridCol w:w="4273"/>
        <w:gridCol w:w="4684"/>
      </w:tblGrid>
      <w:tr>
        <w:trPr>
          <w:trHeight w:val="0" w:hRule="atLeast"/>
          <w:tblHeader/>
          <w:jc w:val="center"/>
        </w:trPr>
        <w:tc>
          <w:tcPr>
            <w:tcW w:w="835"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序号</w:t>
            </w:r>
          </w:p>
        </w:tc>
        <w:tc>
          <w:tcPr>
            <w:tcW w:w="8957" w:type="dxa"/>
            <w:gridSpan w:val="2"/>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内容</w:t>
            </w:r>
          </w:p>
        </w:tc>
      </w:tr>
      <w:tr>
        <w:trPr>
          <w:trHeight w:val="0" w:hRule="atLeast"/>
          <w:jc w:val="center"/>
        </w:trPr>
        <w:tc>
          <w:tcPr>
            <w:tcW w:w="835"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b/>
                <w:sz w:val="21"/>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b/>
                <w:sz w:val="21"/>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1 </w:t>
            </w:r>
          </w:p>
        </w:tc>
        <w:tc>
          <w:tcPr>
            <w:tcW w:w="8957"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04" w:firstLineChars="200"/>
              <w:jc w:val="both"/>
              <w:textAlignment w:val="auto"/>
              <w:rPr>
                <w:sz w:val="21"/>
                <w:szCs w:val="21"/>
              </w:rPr>
            </w:pPr>
            <w:r>
              <w:rPr>
                <w:spacing w:val="-4"/>
                <w:sz w:val="21"/>
                <w:szCs w:val="21"/>
              </w:rPr>
              <w:t>开工前，向业主报送详细的交通用路计划，经审批后，认真组织实施，成立专门的交通管理小组，负责交通指挥、协调，与相关协作单位签订共同使用协管条例，建立卫生等各项管理制度，在分管道路路口处，布设限速、禁停、转弯等标志标牌， 安排专人在主要路口疏解人流、物流，确保区域内交通畅通和周边居民的生活工作</w:t>
            </w:r>
            <w:r>
              <w:rPr>
                <w:sz w:val="21"/>
                <w:szCs w:val="21"/>
              </w:rPr>
              <w:t xml:space="preserve">顺利进行，确保施工用路符合市政和交通管理规定。 </w:t>
            </w:r>
          </w:p>
        </w:tc>
      </w:tr>
      <w:tr>
        <w:trPr>
          <w:trHeight w:val="0" w:hRule="atLeast"/>
          <w:jc w:val="center"/>
        </w:trPr>
        <w:tc>
          <w:tcPr>
            <w:tcW w:w="835"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b/>
                <w:sz w:val="15"/>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2 </w:t>
            </w:r>
          </w:p>
        </w:tc>
        <w:tc>
          <w:tcPr>
            <w:tcW w:w="8957"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20" w:firstLineChars="200"/>
              <w:textAlignment w:val="auto"/>
              <w:rPr>
                <w:sz w:val="21"/>
                <w:szCs w:val="21"/>
              </w:rPr>
            </w:pPr>
            <w:r>
              <w:rPr>
                <w:sz w:val="21"/>
                <w:szCs w:val="21"/>
              </w:rPr>
              <w:t xml:space="preserve">工程施工中设置的运输管理员专门负责各种进出施工现场的车辆的调度指挥，施工高峰期必须对各种车辆的进出场时间进行适当的限制，保证在交通主干道一侧没有任何车辆停留。 </w:t>
            </w:r>
          </w:p>
        </w:tc>
      </w:tr>
      <w:tr>
        <w:trPr>
          <w:trHeight w:val="0" w:hRule="atLeast"/>
          <w:jc w:val="center"/>
        </w:trPr>
        <w:tc>
          <w:tcPr>
            <w:tcW w:w="835"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b/>
                <w:sz w:val="21"/>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3 </w:t>
            </w:r>
          </w:p>
        </w:tc>
        <w:tc>
          <w:tcPr>
            <w:tcW w:w="8957"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20" w:firstLineChars="200"/>
              <w:textAlignment w:val="auto"/>
              <w:rPr>
                <w:sz w:val="21"/>
                <w:szCs w:val="21"/>
              </w:rPr>
            </w:pPr>
            <w:r>
              <w:rPr>
                <w:sz w:val="21"/>
                <w:szCs w:val="21"/>
              </w:rPr>
              <w:t>施工车辆的进出场时间还要与城市交通的日高峰期错开，避免施工材料在城市主干道的羁押。</w:t>
            </w:r>
            <w:r>
              <w:rPr>
                <w:rFonts w:hint="eastAsia"/>
                <w:sz w:val="21"/>
                <w:szCs w:val="21"/>
                <w:lang w:eastAsia="zh-CN"/>
              </w:rPr>
              <w:t>混凝土浇筑</w:t>
            </w:r>
            <w:r>
              <w:rPr>
                <w:sz w:val="21"/>
                <w:szCs w:val="21"/>
              </w:rPr>
              <w:t>施工时要根据当日的具体情况选择适当的运输路线，确保现场不压车、不间断</w:t>
            </w:r>
            <w:r>
              <w:rPr>
                <w:rFonts w:hint="eastAsia"/>
                <w:sz w:val="21"/>
                <w:szCs w:val="21"/>
                <w:lang w:eastAsia="zh-CN"/>
              </w:rPr>
              <w:t>混凝土浇筑</w:t>
            </w:r>
            <w:r>
              <w:rPr>
                <w:sz w:val="21"/>
                <w:szCs w:val="21"/>
              </w:rPr>
              <w:t xml:space="preserve">。 </w:t>
            </w:r>
          </w:p>
        </w:tc>
      </w:tr>
      <w:tr>
        <w:trPr>
          <w:trHeight w:val="0" w:hRule="atLeast"/>
          <w:jc w:val="center"/>
        </w:trPr>
        <w:tc>
          <w:tcPr>
            <w:tcW w:w="835" w:type="dxa"/>
            <w:vMerge w:val="restart"/>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sz w:val="21"/>
                <w:szCs w:val="21"/>
              </w:rPr>
            </w:pPr>
            <w:r>
              <w:rPr>
                <w:rFonts w:hint="eastAsia" w:ascii="宋体" w:hAnsi="宋体" w:eastAsia="宋体" w:cs="宋体"/>
                <w:b w:val="0"/>
                <w:bCs w:val="0"/>
                <w:sz w:val="21"/>
                <w:szCs w:val="21"/>
              </w:rPr>
              <w:t>4</w:t>
            </w:r>
          </w:p>
        </w:tc>
        <w:tc>
          <w:tcPr>
            <w:tcW w:w="8957" w:type="dxa"/>
            <w:gridSpan w:val="2"/>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firstLine="420" w:firstLineChars="200"/>
              <w:jc w:val="both"/>
              <w:rPr>
                <w:sz w:val="21"/>
                <w:szCs w:val="21"/>
              </w:rPr>
            </w:pPr>
            <w:r>
              <w:rPr>
                <w:rFonts w:hint="eastAsia" w:ascii="宋体" w:hAnsi="宋体" w:eastAsia="宋体" w:cs="宋体"/>
                <w:sz w:val="21"/>
                <w:szCs w:val="21"/>
              </w:rPr>
              <w:t xml:space="preserve">所有出入施工现场的施工车辆必须经过检查，确认其不影响市容或场区环境的情况下，才能允许其进出施工现场。 </w:t>
            </w:r>
          </w:p>
        </w:tc>
      </w:tr>
      <w:tr>
        <w:trPr>
          <w:trHeight w:val="0" w:hRule="atLeast"/>
          <w:jc w:val="center"/>
        </w:trPr>
        <w:tc>
          <w:tcPr>
            <w:tcW w:w="835" w:type="dxa"/>
            <w:vMerge w:val="continue"/>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val="0"/>
                <w:bCs w:val="0"/>
                <w:sz w:val="21"/>
                <w:szCs w:val="21"/>
              </w:rPr>
            </w:pPr>
          </w:p>
        </w:tc>
        <w:tc>
          <w:tcPr>
            <w:tcW w:w="42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sz w:val="21"/>
                <w:szCs w:val="21"/>
              </w:rPr>
            </w:pPr>
            <w:r>
              <w:rPr>
                <w:rFonts w:hint="eastAsia" w:ascii="宋体" w:hAnsi="宋体" w:eastAsia="宋体" w:cs="宋体"/>
                <w:sz w:val="21"/>
                <w:szCs w:val="21"/>
              </w:rPr>
              <w:drawing>
                <wp:inline distT="0" distB="0" distL="114300" distR="114300">
                  <wp:extent cx="2604135" cy="1531620"/>
                  <wp:effectExtent l="0" t="0" r="5715" b="11430"/>
                  <wp:docPr id="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8"/>
                          <pic:cNvPicPr>
                            <a:picLocks noChangeAspect="1"/>
                          </pic:cNvPicPr>
                        </pic:nvPicPr>
                        <pic:blipFill>
                          <a:blip r:embed="rId52"/>
                          <a:stretch>
                            <a:fillRect/>
                          </a:stretch>
                        </pic:blipFill>
                        <pic:spPr>
                          <a:xfrm>
                            <a:off x="0" y="0"/>
                            <a:ext cx="2604135" cy="1531620"/>
                          </a:xfrm>
                          <a:prstGeom prst="rect">
                            <a:avLst/>
                          </a:prstGeom>
                          <a:noFill/>
                          <a:ln>
                            <a:noFill/>
                          </a:ln>
                        </pic:spPr>
                      </pic:pic>
                    </a:graphicData>
                  </a:graphic>
                </wp:inline>
              </w:drawing>
            </w:r>
          </w:p>
        </w:tc>
        <w:tc>
          <w:tcPr>
            <w:tcW w:w="4684"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240" w:lineRule="auto"/>
              <w:ind w:left="0" w:right="0"/>
              <w:jc w:val="center"/>
              <w:rPr>
                <w:rFonts w:hint="eastAsia"/>
                <w:sz w:val="21"/>
                <w:szCs w:val="21"/>
              </w:rPr>
            </w:pPr>
            <w:r>
              <w:rPr>
                <w:sz w:val="21"/>
                <w:szCs w:val="21"/>
              </w:rPr>
              <w:drawing>
                <wp:inline distT="0" distB="0" distL="114300" distR="114300">
                  <wp:extent cx="2674620" cy="1542415"/>
                  <wp:effectExtent l="0" t="0" r="11430" b="63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53"/>
                          <a:stretch>
                            <a:fillRect/>
                          </a:stretch>
                        </pic:blipFill>
                        <pic:spPr>
                          <a:xfrm>
                            <a:off x="0" y="0"/>
                            <a:ext cx="2674620" cy="1542415"/>
                          </a:xfrm>
                          <a:prstGeom prst="rect">
                            <a:avLst/>
                          </a:prstGeom>
                          <a:noFill/>
                          <a:ln>
                            <a:noFill/>
                          </a:ln>
                        </pic:spPr>
                      </pic:pic>
                    </a:graphicData>
                  </a:graphic>
                </wp:inline>
              </w:drawing>
            </w:r>
          </w:p>
        </w:tc>
      </w:tr>
    </w:tbl>
    <w:p>
      <w:pPr>
        <w:pStyle w:val="253"/>
        <w:shd w:val="clear"/>
        <w:spacing w:line="300" w:lineRule="auto"/>
        <w:ind w:firstLine="480" w:firstLineChars="200"/>
        <w:outlineLvl w:val="3"/>
      </w:pPr>
      <w:r>
        <w:rPr>
          <w:rFonts w:hint="eastAsia"/>
          <w:b/>
          <w:bCs/>
        </w:rPr>
        <w:t>3、</w:t>
      </w:r>
      <w:r>
        <w:rPr>
          <w:b/>
          <w:bCs/>
        </w:rPr>
        <w:t>交通疏导措施</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35"/>
        <w:gridCol w:w="8947"/>
      </w:tblGrid>
      <w:tr>
        <w:trPr>
          <w:trHeight w:val="0" w:hRule="atLeast"/>
          <w:tblHeader/>
          <w:jc w:val="center"/>
        </w:trPr>
        <w:tc>
          <w:tcPr>
            <w:tcW w:w="835"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序号</w:t>
            </w:r>
          </w:p>
        </w:tc>
        <w:tc>
          <w:tcPr>
            <w:tcW w:w="894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措施</w:t>
            </w:r>
          </w:p>
        </w:tc>
      </w:tr>
      <w:tr>
        <w:trPr>
          <w:trHeight w:val="0" w:hRule="atLeast"/>
          <w:jc w:val="center"/>
        </w:trPr>
        <w:tc>
          <w:tcPr>
            <w:tcW w:w="835"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1</w:t>
            </w:r>
          </w:p>
        </w:tc>
        <w:tc>
          <w:tcPr>
            <w:tcW w:w="894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20" w:firstLineChars="200"/>
              <w:jc w:val="both"/>
              <w:textAlignment w:val="auto"/>
              <w:rPr>
                <w:sz w:val="21"/>
                <w:szCs w:val="21"/>
              </w:rPr>
            </w:pPr>
            <w:r>
              <w:rPr>
                <w:sz w:val="21"/>
                <w:szCs w:val="21"/>
              </w:rPr>
              <w:t>按照施工平面总体布置图合理规划施工现场内的道路，保持路面平整、路基稳固、</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both"/>
              <w:textAlignment w:val="auto"/>
              <w:rPr>
                <w:sz w:val="21"/>
                <w:szCs w:val="21"/>
              </w:rPr>
            </w:pPr>
            <w:r>
              <w:rPr>
                <w:sz w:val="21"/>
                <w:szCs w:val="21"/>
              </w:rPr>
              <w:t>排水良好，</w:t>
            </w:r>
            <w:r>
              <w:rPr>
                <w:rFonts w:hint="eastAsia"/>
                <w:sz w:val="21"/>
                <w:szCs w:val="21"/>
                <w:lang w:eastAsia="zh-CN"/>
              </w:rPr>
              <w:t>并</w:t>
            </w:r>
            <w:r>
              <w:rPr>
                <w:sz w:val="21"/>
                <w:szCs w:val="21"/>
              </w:rPr>
              <w:t xml:space="preserve">具备良好的夜间照明设施。 </w:t>
            </w:r>
          </w:p>
        </w:tc>
      </w:tr>
      <w:tr>
        <w:trPr>
          <w:trHeight w:val="0" w:hRule="atLeast"/>
          <w:jc w:val="center"/>
        </w:trPr>
        <w:tc>
          <w:tcPr>
            <w:tcW w:w="835"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2</w:t>
            </w:r>
          </w:p>
        </w:tc>
        <w:tc>
          <w:tcPr>
            <w:tcW w:w="894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08" w:firstLineChars="200"/>
              <w:jc w:val="both"/>
              <w:textAlignment w:val="auto"/>
              <w:rPr>
                <w:sz w:val="21"/>
                <w:szCs w:val="21"/>
              </w:rPr>
            </w:pPr>
            <w:r>
              <w:rPr>
                <w:spacing w:val="-3"/>
                <w:sz w:val="21"/>
                <w:szCs w:val="21"/>
              </w:rPr>
              <w:t>进行施工围挡和场门外的施工组织导流，制作、购买交通指示牌，在施工区域附近设置明显的警示标志，现场禁止无关车辆、人员进入，并对所有施工车辆装备专用警示灯。在红帽子旁边及支架上设置红灯警示，所有隔离设施上均贴反光条，以确</w:t>
            </w:r>
            <w:r>
              <w:rPr>
                <w:sz w:val="21"/>
                <w:szCs w:val="21"/>
              </w:rPr>
              <w:t xml:space="preserve">保夜间行车安全。 </w:t>
            </w:r>
          </w:p>
        </w:tc>
      </w:tr>
      <w:tr>
        <w:trPr>
          <w:trHeight w:val="0" w:hRule="atLeast"/>
          <w:jc w:val="center"/>
        </w:trPr>
        <w:tc>
          <w:tcPr>
            <w:tcW w:w="835"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3</w:t>
            </w:r>
          </w:p>
        </w:tc>
        <w:tc>
          <w:tcPr>
            <w:tcW w:w="8947"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20" w:firstLineChars="200"/>
              <w:textAlignment w:val="auto"/>
              <w:rPr>
                <w:sz w:val="21"/>
                <w:szCs w:val="21"/>
              </w:rPr>
            </w:pPr>
            <w:r>
              <w:rPr>
                <w:sz w:val="21"/>
                <w:szCs w:val="21"/>
              </w:rPr>
              <w:t>施工现场道路设置齐全的交通标志，道路行驶方向标以箭头指示，路边设限速标志</w:t>
            </w:r>
            <w:r>
              <w:rPr>
                <w:rFonts w:hint="eastAsia"/>
                <w:sz w:val="21"/>
                <w:szCs w:val="21"/>
                <w:lang w:eastAsia="zh-CN"/>
              </w:rPr>
              <w:t>，</w:t>
            </w:r>
            <w:r>
              <w:rPr>
                <w:sz w:val="21"/>
                <w:szCs w:val="21"/>
              </w:rPr>
              <w:t xml:space="preserve">院内有禁鸣笛标志等。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lang w:val="en-US"/>
              </w:rPr>
            </w:pPr>
            <w:r>
              <w:rPr>
                <w:sz w:val="21"/>
                <w:szCs w:val="21"/>
              </w:rPr>
              <w:drawing>
                <wp:inline distT="0" distB="0" distL="114300" distR="114300">
                  <wp:extent cx="1217930" cy="2399665"/>
                  <wp:effectExtent l="0" t="0" r="1270" b="8255"/>
                  <wp:docPr id="107" name="图片 107" descr="aae932164f57febcc94db1b50a2d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aae932164f57febcc94db1b50a2d631"/>
                          <pic:cNvPicPr>
                            <a:picLocks noChangeAspect="1"/>
                          </pic:cNvPicPr>
                        </pic:nvPicPr>
                        <pic:blipFill>
                          <a:blip r:embed="rId54"/>
                          <a:srcRect l="23419" r="8843"/>
                          <a:stretch>
                            <a:fillRect/>
                          </a:stretch>
                        </pic:blipFill>
                        <pic:spPr>
                          <a:xfrm>
                            <a:off x="0" y="0"/>
                            <a:ext cx="1217930" cy="2399665"/>
                          </a:xfrm>
                          <a:prstGeom prst="rect">
                            <a:avLst/>
                          </a:prstGeom>
                        </pic:spPr>
                      </pic:pic>
                    </a:graphicData>
                  </a:graphic>
                </wp:inline>
              </w:drawing>
            </w:r>
            <w:r>
              <w:rPr>
                <w:rFonts w:hint="eastAsia"/>
                <w:sz w:val="21"/>
                <w:szCs w:val="21"/>
                <w:lang w:val="en-US"/>
              </w:rPr>
              <w:t xml:space="preserve">     </w:t>
            </w:r>
            <w:r>
              <w:rPr>
                <w:sz w:val="21"/>
                <w:szCs w:val="21"/>
              </w:rPr>
              <w:drawing>
                <wp:inline distT="0" distB="0" distL="114300" distR="114300">
                  <wp:extent cx="1120140" cy="2451100"/>
                  <wp:effectExtent l="0" t="0" r="7620" b="2540"/>
                  <wp:docPr id="3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17"/>
                          <pic:cNvPicPr>
                            <a:picLocks noChangeAspect="1"/>
                          </pic:cNvPicPr>
                        </pic:nvPicPr>
                        <pic:blipFill>
                          <a:blip r:embed="rId55"/>
                          <a:stretch>
                            <a:fillRect/>
                          </a:stretch>
                        </pic:blipFill>
                        <pic:spPr>
                          <a:xfrm>
                            <a:off x="0" y="0"/>
                            <a:ext cx="1120140" cy="2451100"/>
                          </a:xfrm>
                          <a:prstGeom prst="rect">
                            <a:avLst/>
                          </a:prstGeom>
                          <a:noFill/>
                          <a:ln>
                            <a:noFill/>
                          </a:ln>
                        </pic:spPr>
                      </pic:pic>
                    </a:graphicData>
                  </a:graphic>
                </wp:inline>
              </w:drawing>
            </w:r>
          </w:p>
        </w:tc>
      </w:tr>
      <w:tr>
        <w:trPr>
          <w:trHeight w:val="0" w:hRule="atLeast"/>
          <w:jc w:val="center"/>
        </w:trPr>
        <w:tc>
          <w:tcPr>
            <w:tcW w:w="835"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 xml:space="preserve">4 </w:t>
            </w:r>
          </w:p>
        </w:tc>
        <w:tc>
          <w:tcPr>
            <w:tcW w:w="8947"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408" w:firstLineChars="200"/>
              <w:textAlignment w:val="auto"/>
              <w:rPr>
                <w:sz w:val="21"/>
                <w:szCs w:val="21"/>
              </w:rPr>
            </w:pPr>
            <w:r>
              <w:rPr>
                <w:spacing w:val="-3"/>
                <w:sz w:val="21"/>
                <w:szCs w:val="21"/>
              </w:rPr>
              <w:t xml:space="preserve">在大门外设置临时停车区域，专人负责指挥调度。保证不会影响主要道路的交通。 </w:t>
            </w:r>
          </w:p>
        </w:tc>
      </w:tr>
    </w:tbl>
    <w:p>
      <w:pPr>
        <w:widowControl/>
        <w:shd w:val="clear"/>
        <w:spacing w:line="360" w:lineRule="auto"/>
        <w:ind w:firstLine="480" w:firstLineChars="200"/>
        <w:outlineLvl w:val="2"/>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二、施工道路</w:t>
      </w:r>
    </w:p>
    <w:p>
      <w:pPr>
        <w:pageBreakBefore w:val="0"/>
        <w:widowControl/>
        <w:shd w:val="clear"/>
        <w:kinsoku/>
        <w:wordWrap/>
        <w:overflowPunct/>
        <w:topLinePunct w:val="0"/>
        <w:bidi w:val="0"/>
        <w:snapToGrid/>
        <w:spacing w:beforeAutospacing="0" w:afterAutospacing="0" w:line="360" w:lineRule="auto"/>
        <w:ind w:left="0" w:leftChars="0" w:right="0" w:rightChars="0" w:firstLine="480" w:firstLineChars="200"/>
        <w:rPr>
          <w:rFonts w:hint="default" w:ascii="宋体" w:hAnsi="宋体" w:eastAsia="宋体" w:cs="宋体"/>
          <w:color w:val="auto"/>
          <w:sz w:val="24"/>
          <w:szCs w:val="24"/>
          <w:lang w:val="en-US" w:eastAsia="zh-CN"/>
        </w:rPr>
      </w:pPr>
      <w:r>
        <w:rPr>
          <w:rFonts w:hint="eastAsia" w:ascii="宋体" w:hAnsi="宋体" w:cs="宋体"/>
          <w:color w:val="auto"/>
        </w:rPr>
        <w:t>施工道路由出入口引进，用</w:t>
      </w:r>
      <w:r>
        <w:rPr>
          <w:rFonts w:hint="eastAsia" w:ascii="宋体" w:hAnsi="宋体" w:cs="宋体"/>
          <w:color w:val="auto"/>
          <w:lang w:val="en-US" w:eastAsia="zh-CN"/>
        </w:rPr>
        <w:t>200</w:t>
      </w:r>
      <w:r>
        <w:rPr>
          <w:rFonts w:hint="eastAsia" w:ascii="宋体" w:hAnsi="宋体" w:cs="宋体"/>
          <w:color w:val="auto"/>
        </w:rPr>
        <w:t>厚C20</w:t>
      </w:r>
      <w:r>
        <w:rPr>
          <w:rFonts w:hint="eastAsia" w:ascii="宋体" w:hAnsi="宋体" w:cs="宋体"/>
          <w:color w:val="auto"/>
          <w:lang w:eastAsia="zh-CN"/>
        </w:rPr>
        <w:t>砼硬化</w:t>
      </w:r>
      <w:r>
        <w:rPr>
          <w:rFonts w:hint="eastAsia" w:ascii="宋体" w:hAnsi="宋体" w:cs="宋体"/>
          <w:color w:val="auto"/>
        </w:rPr>
        <w:t>；且道路基础必须用压路机来回压实，上铺200厚</w:t>
      </w:r>
      <w:r>
        <w:rPr>
          <w:rFonts w:hint="eastAsia" w:ascii="宋体" w:hAnsi="宋体" w:cs="宋体"/>
          <w:color w:val="auto"/>
          <w:lang w:eastAsia="zh-CN"/>
        </w:rPr>
        <w:t>磄渣</w:t>
      </w:r>
      <w:r>
        <w:rPr>
          <w:rFonts w:hint="eastAsia" w:ascii="宋体" w:hAnsi="宋体" w:cs="宋体"/>
          <w:color w:val="auto"/>
        </w:rPr>
        <w:t>层，从主入口进入施工现场的主车道宽为6米。</w:t>
      </w:r>
    </w:p>
    <w:p>
      <w:pPr>
        <w:pStyle w:val="4"/>
        <w:shd w:val="clear"/>
        <w:spacing w:before="156" w:after="156"/>
      </w:pPr>
      <w:bookmarkStart w:id="42" w:name="_Toc29694"/>
      <w:bookmarkStart w:id="43" w:name="_Toc21469"/>
      <w:r>
        <w:rPr>
          <w:rFonts w:hint="eastAsia"/>
        </w:rPr>
        <w:t>第</w:t>
      </w:r>
      <w:r>
        <w:rPr>
          <w:rFonts w:hint="eastAsia"/>
          <w:lang w:val="en-US" w:eastAsia="zh-CN"/>
        </w:rPr>
        <w:t>五</w:t>
      </w:r>
      <w:r>
        <w:rPr>
          <w:rFonts w:hint="eastAsia"/>
        </w:rPr>
        <w:t>节  主要施工机械设备布置</w:t>
      </w:r>
      <w:bookmarkEnd w:id="42"/>
      <w:bookmarkEnd w:id="43"/>
    </w:p>
    <w:p>
      <w:pPr>
        <w:widowControl/>
        <w:shd w:val="clear"/>
        <w:spacing w:line="360" w:lineRule="auto"/>
        <w:ind w:firstLine="480" w:firstLineChars="200"/>
      </w:pPr>
      <w:r>
        <w:rPr>
          <w:rFonts w:hint="eastAsia"/>
          <w:color w:val="000000"/>
          <w:szCs w:val="24"/>
          <w:lang w:val="en-US" w:bidi="ar"/>
        </w:rPr>
        <w:t>本工程建筑</w:t>
      </w:r>
      <w:r>
        <w:rPr>
          <w:rFonts w:hint="eastAsia"/>
          <w:color w:val="000000"/>
          <w:szCs w:val="24"/>
          <w:lang w:val="en-US" w:eastAsia="zh-CN" w:bidi="ar"/>
        </w:rPr>
        <w:t>单体面积较大</w:t>
      </w:r>
      <w:r>
        <w:rPr>
          <w:rFonts w:hint="eastAsia"/>
          <w:color w:val="000000"/>
          <w:szCs w:val="24"/>
          <w:lang w:val="en-US" w:bidi="ar"/>
        </w:rPr>
        <w:t>，工期要求紧，为此，施工机械的配备和布置应结合工程特点最大程度地满足工程施工需要。本工程施工机械设备较多，但主要是垂直运输和水平运输设备，主要选型如下：</w:t>
      </w:r>
    </w:p>
    <w:tbl>
      <w:tblPr>
        <w:tblStyle w:val="54"/>
        <w:tblW w:w="52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569"/>
        <w:gridCol w:w="990"/>
        <w:gridCol w:w="2622"/>
        <w:gridCol w:w="1632"/>
        <w:gridCol w:w="4005"/>
      </w:tblGrid>
      <w:tr>
        <w:trPr>
          <w:trHeight w:val="0" w:hRule="atLeast"/>
          <w:tblHeader/>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序号</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设备名称</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选择考虑因素</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eastAsia="宋体"/>
                <w:b/>
                <w:sz w:val="21"/>
                <w:szCs w:val="21"/>
                <w:lang w:val="en-US" w:eastAsia="zh-CN"/>
              </w:rPr>
            </w:pPr>
            <w:r>
              <w:rPr>
                <w:rFonts w:hint="eastAsia"/>
                <w:b/>
                <w:sz w:val="21"/>
                <w:szCs w:val="21"/>
                <w:lang w:val="en-US" w:eastAsia="zh-CN"/>
              </w:rPr>
              <w:t>计划使用时间</w:t>
            </w: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设备图示</w:t>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1</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塔吊</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color w:val="auto"/>
                <w:sz w:val="21"/>
                <w:szCs w:val="21"/>
              </w:rPr>
              <w:t xml:space="preserve">共安排 </w:t>
            </w:r>
            <w:r>
              <w:rPr>
                <w:rFonts w:hint="eastAsia"/>
                <w:color w:val="auto"/>
                <w:sz w:val="21"/>
                <w:szCs w:val="21"/>
                <w:lang w:val="en-US" w:eastAsia="zh-CN"/>
              </w:rPr>
              <w:t>2</w:t>
            </w:r>
            <w:r>
              <w:rPr>
                <w:color w:val="auto"/>
                <w:sz w:val="21"/>
                <w:szCs w:val="21"/>
              </w:rPr>
              <w:t>台塔吊</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FF0000"/>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8"/>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16"/>
                <w:szCs w:val="21"/>
              </w:rPr>
            </w:pPr>
            <w:r>
              <w:rPr>
                <w:sz w:val="16"/>
                <w:szCs w:val="21"/>
              </w:rPr>
              <w:drawing>
                <wp:inline distT="0" distB="0" distL="0" distR="0">
                  <wp:extent cx="2385060" cy="1508760"/>
                  <wp:effectExtent l="0" t="0" r="15240" b="15240"/>
                  <wp:docPr id="700" name="image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235.jpeg"/>
                          <pic:cNvPicPr>
                            <a:picLocks noChangeAspect="1"/>
                          </pic:cNvPicPr>
                        </pic:nvPicPr>
                        <pic:blipFill>
                          <a:blip r:embed="rId56" cstate="print"/>
                          <a:stretch>
                            <a:fillRect/>
                          </a:stretch>
                        </pic:blipFill>
                        <pic:spPr>
                          <a:xfrm>
                            <a:off x="0" y="0"/>
                            <a:ext cx="2385060" cy="1508760"/>
                          </a:xfrm>
                          <a:prstGeom prst="rect">
                            <a:avLst/>
                          </a:prstGeom>
                        </pic:spPr>
                      </pic:pic>
                    </a:graphicData>
                  </a:graphic>
                </wp:inline>
              </w:drawing>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2</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施工电梯</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color w:val="auto"/>
                <w:spacing w:val="-4"/>
                <w:sz w:val="21"/>
                <w:szCs w:val="21"/>
              </w:rPr>
              <w:t>施工电梯的布置主要是为机电安装、砌筑二次结构和</w:t>
            </w:r>
            <w:r>
              <w:rPr>
                <w:rFonts w:hint="eastAsia"/>
                <w:color w:val="auto"/>
                <w:spacing w:val="-4"/>
                <w:sz w:val="21"/>
                <w:szCs w:val="21"/>
                <w:lang w:val="en-US" w:eastAsia="zh-CN"/>
              </w:rPr>
              <w:t>装</w:t>
            </w:r>
            <w:r>
              <w:rPr>
                <w:color w:val="auto"/>
                <w:spacing w:val="-4"/>
                <w:sz w:val="21"/>
                <w:szCs w:val="21"/>
              </w:rPr>
              <w:t>饰等工程提供垂直运输</w:t>
            </w:r>
            <w:r>
              <w:rPr>
                <w:color w:val="auto"/>
                <w:sz w:val="21"/>
                <w:szCs w:val="21"/>
              </w:rPr>
              <w:t>为满足施工需求主楼共布置</w:t>
            </w:r>
            <w:r>
              <w:rPr>
                <w:rFonts w:hint="eastAsia"/>
                <w:color w:val="auto"/>
                <w:sz w:val="21"/>
                <w:szCs w:val="21"/>
                <w:lang w:val="en-US" w:eastAsia="zh-CN"/>
              </w:rPr>
              <w:t>5</w:t>
            </w:r>
            <w:r>
              <w:rPr>
                <w:rFonts w:hint="eastAsia"/>
                <w:color w:val="auto"/>
                <w:sz w:val="21"/>
                <w:szCs w:val="21"/>
                <w:lang w:val="en-US"/>
              </w:rPr>
              <w:t>台</w:t>
            </w:r>
            <w:r>
              <w:rPr>
                <w:color w:val="auto"/>
                <w:sz w:val="21"/>
                <w:szCs w:val="21"/>
              </w:rPr>
              <w:t>施工电梯。</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FF0000"/>
                <w:spacing w:val="-4"/>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ascii="Times New Roman"/>
                <w:sz w:val="16"/>
                <w:szCs w:val="21"/>
              </w:rPr>
            </w:pPr>
            <w:r>
              <w:rPr>
                <w:rFonts w:ascii="Times New Roman"/>
                <w:sz w:val="16"/>
                <w:szCs w:val="21"/>
              </w:rPr>
              <w:drawing>
                <wp:inline distT="0" distB="0" distL="0" distR="0">
                  <wp:extent cx="1714500" cy="1321435"/>
                  <wp:effectExtent l="0" t="0" r="0" b="12065"/>
                  <wp:docPr id="701" name="image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image238.jpeg"/>
                          <pic:cNvPicPr>
                            <a:picLocks noChangeAspect="1"/>
                          </pic:cNvPicPr>
                        </pic:nvPicPr>
                        <pic:blipFill>
                          <a:blip r:embed="rId57" cstate="print"/>
                          <a:stretch>
                            <a:fillRect/>
                          </a:stretch>
                        </pic:blipFill>
                        <pic:spPr>
                          <a:xfrm>
                            <a:off x="0" y="0"/>
                            <a:ext cx="1714666" cy="1321879"/>
                          </a:xfrm>
                          <a:prstGeom prst="rect">
                            <a:avLst/>
                          </a:prstGeom>
                        </pic:spPr>
                      </pic:pic>
                    </a:graphicData>
                  </a:graphic>
                </wp:inline>
              </w:drawing>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3</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挖机及自卸车</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FF0000"/>
                <w:sz w:val="21"/>
                <w:szCs w:val="21"/>
              </w:rPr>
            </w:pPr>
            <w:r>
              <w:rPr>
                <w:color w:val="auto"/>
                <w:sz w:val="21"/>
                <w:szCs w:val="21"/>
              </w:rPr>
              <w:t>挖机的使用主要基础及地下室土方工程。为满足施工需要，共投入</w:t>
            </w:r>
            <w:r>
              <w:rPr>
                <w:rFonts w:hint="eastAsia"/>
                <w:color w:val="auto"/>
                <w:sz w:val="21"/>
                <w:szCs w:val="21"/>
                <w:lang w:val="en-US" w:eastAsia="zh-CN"/>
              </w:rPr>
              <w:t>4</w:t>
            </w:r>
            <w:r>
              <w:rPr>
                <w:color w:val="auto"/>
                <w:sz w:val="21"/>
                <w:szCs w:val="21"/>
              </w:rPr>
              <w:t>台大挖机主挖和</w:t>
            </w:r>
            <w:r>
              <w:rPr>
                <w:rFonts w:hint="eastAsia"/>
                <w:color w:val="auto"/>
                <w:sz w:val="21"/>
                <w:szCs w:val="21"/>
                <w:lang w:val="en-US" w:eastAsia="zh-CN"/>
              </w:rPr>
              <w:t>2</w:t>
            </w:r>
            <w:r>
              <w:rPr>
                <w:color w:val="auto"/>
                <w:sz w:val="21"/>
                <w:szCs w:val="21"/>
              </w:rPr>
              <w:t>台小挖机掏挖配合人工清土；自卸车投入1</w:t>
            </w:r>
            <w:r>
              <w:rPr>
                <w:rFonts w:hint="eastAsia"/>
                <w:color w:val="auto"/>
                <w:sz w:val="21"/>
                <w:szCs w:val="21"/>
                <w:lang w:val="en-US" w:eastAsia="zh-CN"/>
              </w:rPr>
              <w:t>5</w:t>
            </w:r>
            <w:r>
              <w:rPr>
                <w:color w:val="auto"/>
                <w:sz w:val="21"/>
                <w:szCs w:val="21"/>
              </w:rPr>
              <w:t xml:space="preserve"> 辆。</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FF0000"/>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ascii="Times New Roman"/>
                <w:sz w:val="16"/>
                <w:szCs w:val="21"/>
              </w:rPr>
            </w:pPr>
            <w:r>
              <w:rPr>
                <w:rFonts w:ascii="Times New Roman"/>
                <w:sz w:val="16"/>
                <w:szCs w:val="21"/>
              </w:rPr>
              <w:drawing>
                <wp:inline distT="0" distB="0" distL="0" distR="0">
                  <wp:extent cx="2423795" cy="1134745"/>
                  <wp:effectExtent l="0" t="0" r="14605" b="8255"/>
                  <wp:docPr id="702" name="image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239.jpeg"/>
                          <pic:cNvPicPr>
                            <a:picLocks noChangeAspect="1"/>
                          </pic:cNvPicPr>
                        </pic:nvPicPr>
                        <pic:blipFill>
                          <a:blip r:embed="rId58" cstate="print"/>
                          <a:stretch>
                            <a:fillRect/>
                          </a:stretch>
                        </pic:blipFill>
                        <pic:spPr>
                          <a:xfrm>
                            <a:off x="0" y="0"/>
                            <a:ext cx="2424025" cy="1135379"/>
                          </a:xfrm>
                          <a:prstGeom prst="rect">
                            <a:avLst/>
                          </a:prstGeom>
                        </pic:spPr>
                      </pic:pic>
                    </a:graphicData>
                  </a:graphic>
                </wp:inline>
              </w:drawing>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4</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汽车吊</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auto"/>
                <w:sz w:val="21"/>
                <w:szCs w:val="21"/>
              </w:rPr>
            </w:pPr>
            <w:r>
              <w:rPr>
                <w:color w:val="auto"/>
                <w:sz w:val="21"/>
                <w:szCs w:val="21"/>
              </w:rPr>
              <w:t>汽车吊的使用主要为桩基阶段的材料吊运以及配合主体施工阶段施工材料的吊运。</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auto"/>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drawing>
                <wp:inline distT="0" distB="0" distL="114300" distR="114300">
                  <wp:extent cx="2188210" cy="1439545"/>
                  <wp:effectExtent l="0" t="0" r="2540" b="8255"/>
                  <wp:docPr id="70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图片 52"/>
                          <pic:cNvPicPr>
                            <a:picLocks noChangeAspect="1"/>
                          </pic:cNvPicPr>
                        </pic:nvPicPr>
                        <pic:blipFill>
                          <a:blip r:embed="rId59"/>
                          <a:stretch>
                            <a:fillRect/>
                          </a:stretch>
                        </pic:blipFill>
                        <pic:spPr>
                          <a:xfrm>
                            <a:off x="0" y="0"/>
                            <a:ext cx="2188210" cy="1439545"/>
                          </a:xfrm>
                          <a:prstGeom prst="rect">
                            <a:avLst/>
                          </a:prstGeom>
                          <a:noFill/>
                          <a:ln>
                            <a:noFill/>
                          </a:ln>
                        </pic:spPr>
                      </pic:pic>
                    </a:graphicData>
                  </a:graphic>
                </wp:inline>
              </w:drawing>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5</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混凝土输送泵</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auto"/>
                <w:sz w:val="21"/>
                <w:szCs w:val="21"/>
              </w:rPr>
            </w:pPr>
            <w:r>
              <w:rPr>
                <w:color w:val="auto"/>
                <w:spacing w:val="-4"/>
                <w:sz w:val="21"/>
                <w:szCs w:val="21"/>
              </w:rPr>
              <w:t>本工程根据混凝土在不同阶段、不同流水段、不同部位的施工情况来配备混凝土输</w:t>
            </w:r>
            <w:r>
              <w:rPr>
                <w:color w:val="auto"/>
                <w:sz w:val="21"/>
                <w:szCs w:val="21"/>
              </w:rPr>
              <w:t>送泵。</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color w:val="auto"/>
                <w:spacing w:val="-4"/>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drawing>
                <wp:inline distT="0" distB="0" distL="114300" distR="114300">
                  <wp:extent cx="2521585" cy="1315720"/>
                  <wp:effectExtent l="0" t="0" r="12065" b="17780"/>
                  <wp:docPr id="705"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图片 53"/>
                          <pic:cNvPicPr>
                            <a:picLocks noChangeAspect="1"/>
                          </pic:cNvPicPr>
                        </pic:nvPicPr>
                        <pic:blipFill>
                          <a:blip r:embed="rId60"/>
                          <a:stretch>
                            <a:fillRect/>
                          </a:stretch>
                        </pic:blipFill>
                        <pic:spPr>
                          <a:xfrm>
                            <a:off x="0" y="0"/>
                            <a:ext cx="2521585" cy="1315720"/>
                          </a:xfrm>
                          <a:prstGeom prst="rect">
                            <a:avLst/>
                          </a:prstGeom>
                          <a:noFill/>
                          <a:ln>
                            <a:noFill/>
                          </a:ln>
                        </pic:spPr>
                      </pic:pic>
                    </a:graphicData>
                  </a:graphic>
                </wp:inline>
              </w:drawing>
            </w:r>
          </w:p>
        </w:tc>
      </w:tr>
      <w:tr>
        <w:trPr>
          <w:trHeight w:val="0" w:hRule="atLeast"/>
          <w:jc w:val="center"/>
        </w:trPr>
        <w:tc>
          <w:tcPr>
            <w:tcW w:w="28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6</w:t>
            </w:r>
          </w:p>
        </w:tc>
        <w:tc>
          <w:tcPr>
            <w:tcW w:w="504"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主要钢筋、模板机械</w:t>
            </w:r>
          </w:p>
        </w:tc>
        <w:tc>
          <w:tcPr>
            <w:tcW w:w="1335"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hanging="718"/>
              <w:jc w:val="center"/>
              <w:textAlignment w:val="auto"/>
              <w:rPr>
                <w:sz w:val="21"/>
                <w:szCs w:val="21"/>
              </w:rPr>
            </w:pPr>
            <w:r>
              <w:rPr>
                <w:sz w:val="21"/>
                <w:szCs w:val="21"/>
              </w:rPr>
              <w:t>详见拟投入本项目的主要施工设备表</w:t>
            </w:r>
          </w:p>
        </w:tc>
        <w:tc>
          <w:tcPr>
            <w:tcW w:w="830"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hanging="718"/>
              <w:jc w:val="center"/>
              <w:textAlignment w:val="auto"/>
              <w:rPr>
                <w:sz w:val="21"/>
                <w:szCs w:val="21"/>
              </w:rPr>
            </w:pPr>
          </w:p>
        </w:tc>
        <w:tc>
          <w:tcPr>
            <w:tcW w:w="2039" w:type="pc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drawing>
                <wp:inline distT="0" distB="0" distL="0" distR="0">
                  <wp:extent cx="2186305" cy="2155190"/>
                  <wp:effectExtent l="0" t="0" r="4445" b="16510"/>
                  <wp:docPr id="703" name="image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image240.jpeg"/>
                          <pic:cNvPicPr>
                            <a:picLocks noChangeAspect="1"/>
                          </pic:cNvPicPr>
                        </pic:nvPicPr>
                        <pic:blipFill>
                          <a:blip r:embed="rId61" cstate="print"/>
                          <a:stretch>
                            <a:fillRect/>
                          </a:stretch>
                        </pic:blipFill>
                        <pic:spPr>
                          <a:xfrm>
                            <a:off x="0" y="0"/>
                            <a:ext cx="2186481" cy="2155190"/>
                          </a:xfrm>
                          <a:prstGeom prst="rect">
                            <a:avLst/>
                          </a:prstGeom>
                        </pic:spPr>
                      </pic:pic>
                    </a:graphicData>
                  </a:graphic>
                </wp:inline>
              </w:drawing>
            </w:r>
          </w:p>
        </w:tc>
      </w:tr>
    </w:tbl>
    <w:p>
      <w:pPr>
        <w:shd w:val="clear"/>
        <w:bidi w:val="0"/>
        <w:ind w:firstLine="480" w:firstLineChars="200"/>
        <w:rPr>
          <w:rFonts w:hint="eastAsia"/>
          <w:lang w:eastAsia="zh-CN"/>
        </w:rPr>
      </w:pPr>
      <w:r>
        <w:rPr>
          <w:rFonts w:hint="eastAsia"/>
          <w:lang w:eastAsia="zh-CN"/>
        </w:rPr>
        <w:t>本工程塔吊及施工电梯布置如图所示：</w:t>
      </w:r>
    </w:p>
    <w:p>
      <w:pPr>
        <w:pStyle w:val="2"/>
        <w:shd w:val="clear"/>
        <w:jc w:val="center"/>
        <w:rPr>
          <w:rFonts w:hint="eastAsia"/>
          <w:color w:val="auto"/>
          <w:highlight w:val="yellow"/>
          <w:lang w:eastAsia="zh-CN"/>
        </w:rPr>
      </w:pPr>
      <w:r>
        <w:rPr>
          <w:rFonts w:hint="eastAsia"/>
        </w:rPr>
        <w:drawing>
          <wp:inline distT="0" distB="0" distL="114300" distR="114300">
            <wp:extent cx="4366895" cy="3864610"/>
            <wp:effectExtent l="0" t="0" r="6985" b="6350"/>
            <wp:docPr id="121" name="图片 121" descr="111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1111_00"/>
                    <pic:cNvPicPr>
                      <a:picLocks noChangeAspect="1"/>
                    </pic:cNvPicPr>
                  </pic:nvPicPr>
                  <pic:blipFill>
                    <a:blip r:embed="rId62"/>
                    <a:srcRect l="7434" r="18580" b="7339"/>
                    <a:stretch>
                      <a:fillRect/>
                    </a:stretch>
                  </pic:blipFill>
                  <pic:spPr>
                    <a:xfrm>
                      <a:off x="0" y="0"/>
                      <a:ext cx="4366895" cy="3864610"/>
                    </a:xfrm>
                    <a:prstGeom prst="rect">
                      <a:avLst/>
                    </a:prstGeom>
                  </pic:spPr>
                </pic:pic>
              </a:graphicData>
            </a:graphic>
          </wp:inline>
        </w:drawing>
      </w:r>
    </w:p>
    <w:p>
      <w:pPr>
        <w:pStyle w:val="4"/>
        <w:shd w:val="clear"/>
        <w:spacing w:before="156" w:after="156"/>
      </w:pPr>
      <w:bookmarkStart w:id="44" w:name="_Toc22437"/>
      <w:r>
        <w:rPr>
          <w:rFonts w:hint="eastAsia"/>
        </w:rPr>
        <w:t>第</w:t>
      </w:r>
      <w:r>
        <w:rPr>
          <w:rFonts w:hint="eastAsia"/>
          <w:lang w:val="en-US" w:eastAsia="zh-CN"/>
        </w:rPr>
        <w:t>六</w:t>
      </w:r>
      <w:r>
        <w:rPr>
          <w:rFonts w:hint="eastAsia"/>
        </w:rPr>
        <w:t>节  临时</w:t>
      </w:r>
      <w:r>
        <w:rPr>
          <w:rFonts w:hint="eastAsia"/>
          <w:lang w:val="en-US" w:eastAsia="zh-CN"/>
        </w:rPr>
        <w:t>用水布置</w:t>
      </w:r>
      <w:bookmarkEnd w:id="44"/>
    </w:p>
    <w:p>
      <w:pPr>
        <w:shd w:val="clear"/>
        <w:spacing w:line="360" w:lineRule="auto"/>
      </w:pPr>
      <w:r>
        <w:rPr>
          <w:rFonts w:hint="eastAsia" w:ascii="宋体" w:hAnsi="宋体" w:cs="宋体"/>
          <w:color w:val="000000" w:themeColor="text1"/>
          <w14:textFill>
            <w14:solidFill>
              <w14:schemeClr w14:val="tx1"/>
            </w14:solidFill>
          </w14:textFill>
        </w:rPr>
        <w:t xml:space="preserve">    </w:t>
      </w:r>
      <w:r>
        <w:rPr>
          <w:rFonts w:hint="eastAsia"/>
        </w:rPr>
        <w:t>1、施工临时用水及总给水管管径计算</w:t>
      </w:r>
    </w:p>
    <w:p>
      <w:pPr>
        <w:shd w:val="clear"/>
        <w:spacing w:line="360" w:lineRule="auto"/>
        <w:ind w:firstLine="48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根据现场施工用水量、施工机械用水量（采用商品砼用水相对较少）、生活用水量计算，总用水量q</w:t>
      </w:r>
      <w:r>
        <w:rPr>
          <w:rFonts w:hint="eastAsia" w:ascii="宋体" w:hAnsi="宋体" w:cs="宋体"/>
          <w:color w:val="000000" w:themeColor="text1"/>
          <w:vertAlign w:val="subscript"/>
          <w14:textFill>
            <w14:solidFill>
              <w14:schemeClr w14:val="tx1"/>
            </w14:solidFill>
          </w14:textFill>
        </w:rPr>
        <w:t>1</w:t>
      </w:r>
      <w:r>
        <w:rPr>
          <w:rFonts w:hint="eastAsia" w:ascii="宋体" w:hAnsi="宋体" w:cs="宋体"/>
          <w:color w:val="000000" w:themeColor="text1"/>
          <w14:textFill>
            <w14:solidFill>
              <w14:schemeClr w14:val="tx1"/>
            </w14:solidFill>
          </w14:textFill>
        </w:rPr>
        <w:t>=12L/S，考虑建筑消防需要，消防用水q</w:t>
      </w:r>
      <w:r>
        <w:rPr>
          <w:rFonts w:hint="eastAsia" w:ascii="宋体" w:hAnsi="宋体" w:cs="宋体"/>
          <w:color w:val="000000" w:themeColor="text1"/>
          <w:vertAlign w:val="subscript"/>
          <w14:textFill>
            <w14:solidFill>
              <w14:schemeClr w14:val="tx1"/>
            </w14:solidFill>
          </w14:textFill>
        </w:rPr>
        <w:t>2</w:t>
      </w:r>
      <w:r>
        <w:rPr>
          <w:rFonts w:hint="eastAsia" w:ascii="宋体" w:hAnsi="宋体" w:cs="宋体"/>
          <w:color w:val="000000" w:themeColor="text1"/>
          <w14:textFill>
            <w14:solidFill>
              <w14:schemeClr w14:val="tx1"/>
            </w14:solidFill>
          </w14:textFill>
        </w:rPr>
        <w:t>=20L/S。q</w:t>
      </w:r>
      <w:r>
        <w:rPr>
          <w:rFonts w:hint="eastAsia" w:ascii="宋体" w:hAnsi="宋体" w:cs="宋体"/>
          <w:color w:val="000000" w:themeColor="text1"/>
          <w:vertAlign w:val="subscript"/>
          <w14:textFill>
            <w14:solidFill>
              <w14:schemeClr w14:val="tx1"/>
            </w14:solidFill>
          </w14:textFill>
        </w:rPr>
        <w:t>2</w:t>
      </w:r>
      <w:r>
        <w:rPr>
          <w:rFonts w:hint="eastAsia" w:ascii="宋体" w:hAnsi="宋体" w:cs="宋体"/>
          <w:color w:val="000000" w:themeColor="text1"/>
          <w14:textFill>
            <w14:solidFill>
              <w14:schemeClr w14:val="tx1"/>
            </w14:solidFill>
          </w14:textFill>
        </w:rPr>
        <w:t>&gt;q</w:t>
      </w:r>
      <w:r>
        <w:rPr>
          <w:rFonts w:hint="eastAsia" w:ascii="宋体" w:hAnsi="宋体" w:cs="宋体"/>
          <w:color w:val="000000" w:themeColor="text1"/>
          <w:vertAlign w:val="subscript"/>
          <w14:textFill>
            <w14:solidFill>
              <w14:schemeClr w14:val="tx1"/>
            </w14:solidFill>
          </w14:textFill>
        </w:rPr>
        <w:t>1</w:t>
      </w:r>
      <w:r>
        <w:rPr>
          <w:rFonts w:hint="eastAsia" w:ascii="宋体" w:hAnsi="宋体" w:cs="宋体"/>
          <w:color w:val="000000" w:themeColor="text1"/>
          <w14:textFill>
            <w14:solidFill>
              <w14:schemeClr w14:val="tx1"/>
            </w14:solidFill>
          </w14:textFill>
        </w:rPr>
        <w:t>，即施工及生活总用水量小于消防总用水量需求。故总给水管管径按消防需要考虑，则总给水管径为：</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4Q</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计算公式：d=（——————）</w:t>
      </w:r>
      <w:r>
        <w:rPr>
          <w:rFonts w:hint="eastAsia" w:ascii="宋体" w:hAnsi="宋体" w:cs="宋体"/>
          <w:color w:val="000000" w:themeColor="text1"/>
          <w:vertAlign w:val="superscript"/>
          <w14:textFill>
            <w14:solidFill>
              <w14:schemeClr w14:val="tx1"/>
            </w14:solidFill>
          </w14:textFill>
        </w:rPr>
        <w:t>1/2</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π.υ.1000</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式中d——配水管直径</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Q——耗水量（L/S）取消防用水q</w:t>
      </w:r>
      <w:r>
        <w:rPr>
          <w:rFonts w:hint="eastAsia" w:ascii="宋体" w:hAnsi="宋体" w:cs="宋体"/>
          <w:color w:val="000000" w:themeColor="text1"/>
          <w:vertAlign w:val="subscript"/>
          <w14:textFill>
            <w14:solidFill>
              <w14:schemeClr w14:val="tx1"/>
            </w14:solidFill>
          </w14:textFill>
        </w:rPr>
        <w:t>2</w:t>
      </w:r>
      <w:r>
        <w:rPr>
          <w:rFonts w:hint="eastAsia" w:ascii="宋体" w:hAnsi="宋体" w:cs="宋体"/>
          <w:color w:val="000000" w:themeColor="text1"/>
          <w14:textFill>
            <w14:solidFill>
              <w14:schemeClr w14:val="tx1"/>
            </w14:solidFill>
          </w14:textFill>
        </w:rPr>
        <w:t>=20L/S</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υ——管网中水流速度（m/s）</w:t>
      </w:r>
    </w:p>
    <w:p>
      <w:pPr>
        <w:shd w:val="clear"/>
        <w:spacing w:line="360" w:lineRule="auto"/>
        <w:ind w:firstLine="57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取υ=2.50m/s。</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4Q</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则：d=（——————）</w:t>
      </w:r>
      <w:r>
        <w:rPr>
          <w:rFonts w:hint="eastAsia" w:ascii="宋体" w:hAnsi="宋体" w:cs="宋体"/>
          <w:color w:val="000000" w:themeColor="text1"/>
          <w:vertAlign w:val="superscript"/>
          <w14:textFill>
            <w14:solidFill>
              <w14:schemeClr w14:val="tx1"/>
            </w14:solidFill>
          </w14:textFill>
        </w:rPr>
        <w:t>1/2</w:t>
      </w:r>
      <w:r>
        <w:rPr>
          <w:rFonts w:hint="eastAsia" w:ascii="宋体" w:hAnsi="宋体" w:cs="宋体"/>
          <w:color w:val="000000" w:themeColor="text1"/>
          <w14:textFill>
            <w14:solidFill>
              <w14:schemeClr w14:val="tx1"/>
            </w14:solidFill>
          </w14:textFill>
        </w:rPr>
        <w:t xml:space="preserve">   =0.10m</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π.υ.1000</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经以上计算，总给水管径100mm符合要求。</w:t>
      </w:r>
    </w:p>
    <w:p>
      <w:pPr>
        <w:pStyle w:val="7"/>
        <w:shd w:val="clear"/>
        <w:bidi w:val="0"/>
        <w:rPr>
          <w:rFonts w:ascii="宋体" w:hAnsi="宋体" w:cs="宋体"/>
          <w:color w:val="000000" w:themeColor="text1"/>
          <w14:textFill>
            <w14:solidFill>
              <w14:schemeClr w14:val="tx1"/>
            </w14:solidFill>
          </w14:textFill>
        </w:rPr>
      </w:pPr>
      <w:r>
        <w:rPr>
          <w:rFonts w:hint="eastAsia"/>
          <w:lang w:val="en-US" w:eastAsia="zh-CN"/>
        </w:rPr>
        <w:t>2、</w:t>
      </w:r>
      <w:bookmarkStart w:id="45" w:name="_Toc8636"/>
      <w:bookmarkStart w:id="46" w:name="_Toc16512849"/>
      <w:bookmarkStart w:id="47" w:name="_Toc7541"/>
      <w:bookmarkStart w:id="48" w:name="_Toc16513538"/>
      <w:bookmarkStart w:id="49" w:name="_Toc16513428"/>
      <w:r>
        <w:rPr>
          <w:rFonts w:hint="eastAsia" w:ascii="宋体" w:hAnsi="宋体" w:cs="宋体"/>
          <w:color w:val="000000" w:themeColor="text1"/>
          <w14:textFill>
            <w14:solidFill>
              <w14:schemeClr w14:val="tx1"/>
            </w14:solidFill>
          </w14:textFill>
        </w:rPr>
        <w:t>临时用水管线布置</w:t>
      </w:r>
    </w:p>
    <w:p>
      <w:pPr>
        <w:pStyle w:val="22"/>
        <w:keepNext w:val="0"/>
        <w:keepLines w:val="0"/>
        <w:pageBreakBefore w:val="0"/>
        <w:widowControl/>
        <w:shd w:val="clear"/>
        <w:kinsoku/>
        <w:wordWrap/>
        <w:overflowPunct/>
        <w:topLinePunct w:val="0"/>
        <w:autoSpaceDE/>
        <w:autoSpaceDN/>
        <w:bidi w:val="0"/>
        <w:adjustRightInd/>
        <w:snapToGrid w:val="0"/>
        <w:spacing w:after="0" w:line="360" w:lineRule="auto"/>
        <w:ind w:firstLine="480" w:firstLineChars="200"/>
        <w:textAlignment w:val="auto"/>
        <w:rPr>
          <w:rFonts w:hint="default" w:eastAsia="宋体"/>
          <w:color w:val="auto"/>
          <w:lang w:val="en-US" w:eastAsia="zh-CN"/>
        </w:rPr>
      </w:pPr>
      <w:r>
        <w:rPr>
          <w:rFonts w:hint="eastAsia"/>
          <w:color w:val="auto"/>
          <w:lang w:eastAsia="zh-CN"/>
        </w:rPr>
        <w:t>本工程设置一个总水泵房，根据场地条件，初步设计布置在场地</w:t>
      </w:r>
      <w:r>
        <w:rPr>
          <w:rFonts w:hint="eastAsia"/>
          <w:color w:val="auto"/>
          <w:lang w:val="en-US" w:eastAsia="zh-CN"/>
        </w:rPr>
        <w:t>西北</w:t>
      </w:r>
      <w:r>
        <w:rPr>
          <w:rFonts w:hint="eastAsia"/>
          <w:color w:val="auto"/>
          <w:lang w:eastAsia="zh-CN"/>
        </w:rPr>
        <w:t>侧，水泵房内设置两台</w:t>
      </w:r>
      <w:r>
        <w:rPr>
          <w:rFonts w:hint="eastAsia"/>
          <w:color w:val="auto"/>
          <w:lang w:val="en-US" w:eastAsia="zh-CN"/>
        </w:rPr>
        <w:t>100米扬尘高压水泵，分别提供施工用水和消防用水。</w:t>
      </w:r>
    </w:p>
    <w:p>
      <w:pPr>
        <w:keepNext w:val="0"/>
        <w:keepLines w:val="0"/>
        <w:pageBreakBefore w:val="0"/>
        <w:widowControl/>
        <w:shd w:val="clear"/>
        <w:kinsoku/>
        <w:wordWrap/>
        <w:overflowPunct/>
        <w:topLinePunct w:val="0"/>
        <w:autoSpaceDE/>
        <w:autoSpaceDN/>
        <w:bidi w:val="0"/>
        <w:adjustRightInd/>
        <w:snapToGrid w:val="0"/>
        <w:spacing w:line="360" w:lineRule="auto"/>
        <w:ind w:firstLine="480" w:firstLineChars="200"/>
        <w:textAlignment w:val="auto"/>
        <w:rPr>
          <w:rFonts w:ascii="宋体" w:hAnsi="宋体" w:cs="宋体"/>
          <w:color w:val="auto"/>
        </w:rPr>
      </w:pPr>
      <w:r>
        <w:rPr>
          <w:rFonts w:hint="eastAsia" w:ascii="宋体" w:hAnsi="宋体" w:cs="宋体"/>
          <w:color w:val="auto"/>
        </w:rPr>
        <w:t>（1）施工用水：现场施工用水由</w:t>
      </w:r>
      <w:r>
        <w:rPr>
          <w:rFonts w:hint="eastAsia" w:ascii="宋体" w:hAnsi="宋体" w:cs="宋体"/>
          <w:color w:val="auto"/>
          <w:lang w:val="en-US" w:eastAsia="zh-CN"/>
        </w:rPr>
        <w:t>姜湖路道路一侧市政总水源处引入</w:t>
      </w:r>
      <w:r>
        <w:rPr>
          <w:rFonts w:hint="eastAsia" w:ascii="宋体" w:hAnsi="宋体" w:cs="宋体"/>
          <w:color w:val="auto"/>
          <w:lang w:eastAsia="zh-CN"/>
        </w:rPr>
        <w:t>水泵房</w:t>
      </w:r>
      <w:r>
        <w:rPr>
          <w:rFonts w:hint="eastAsia" w:ascii="宋体" w:hAnsi="宋体" w:cs="宋体"/>
          <w:color w:val="auto"/>
        </w:rPr>
        <w:t>，沿</w:t>
      </w:r>
      <w:r>
        <w:rPr>
          <w:rFonts w:hint="eastAsia" w:ascii="宋体" w:hAnsi="宋体" w:cs="宋体"/>
          <w:color w:val="auto"/>
          <w:lang w:val="en-US" w:eastAsia="zh-CN"/>
        </w:rPr>
        <w:t>场地围墙</w:t>
      </w:r>
      <w:r>
        <w:rPr>
          <w:rFonts w:hint="eastAsia" w:ascii="宋体" w:hAnsi="宋体" w:cs="宋体"/>
          <w:color w:val="auto"/>
        </w:rPr>
        <w:t>环向布置，在主要施工机械及加工棚附近设置若干水龙头，由支管引入。施工层用水由地面分管接入，在建筑物各施工层设置若干水龙头。</w:t>
      </w:r>
    </w:p>
    <w:p>
      <w:pPr>
        <w:keepNext w:val="0"/>
        <w:keepLines w:val="0"/>
        <w:pageBreakBefore w:val="0"/>
        <w:widowControl/>
        <w:shd w:val="clear"/>
        <w:kinsoku/>
        <w:wordWrap/>
        <w:overflowPunct/>
        <w:topLinePunct w:val="0"/>
        <w:autoSpaceDE/>
        <w:autoSpaceDN/>
        <w:bidi w:val="0"/>
        <w:adjustRightInd/>
        <w:snapToGrid w:val="0"/>
        <w:spacing w:line="360" w:lineRule="auto"/>
        <w:ind w:firstLine="480" w:firstLineChars="200"/>
        <w:textAlignment w:val="auto"/>
        <w:rPr>
          <w:rFonts w:ascii="宋体" w:hAnsi="宋体" w:cs="宋体"/>
          <w:color w:val="auto"/>
        </w:rPr>
      </w:pPr>
      <w:r>
        <w:rPr>
          <w:rFonts w:hint="eastAsia" w:ascii="宋体" w:hAnsi="宋体" w:cs="宋体"/>
          <w:color w:val="auto"/>
        </w:rPr>
        <w:t>（2）消防用水，沿建筑物四周、木工车间及办公、生活区等地方布置若干消火栓。另外，按安全要求各防火区内分别配置若干消防器材，施工层消防用水利用高压水泵向上引的施工用水兼作消防用水。</w:t>
      </w:r>
    </w:p>
    <w:p>
      <w:pPr>
        <w:keepNext w:val="0"/>
        <w:keepLines w:val="0"/>
        <w:pageBreakBefore w:val="0"/>
        <w:widowControl/>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rPr>
      </w:pPr>
      <w:r>
        <w:rPr>
          <w:rFonts w:hint="eastAsia" w:ascii="宋体" w:hAnsi="宋体" w:eastAsia="宋体" w:cs="宋体"/>
          <w:color w:val="auto"/>
        </w:rPr>
        <w:t>（3）生活用水：生活用水由</w:t>
      </w:r>
      <w:r>
        <w:rPr>
          <w:rFonts w:hint="eastAsia" w:ascii="宋体" w:hAnsi="宋体" w:cs="宋体"/>
          <w:color w:val="auto"/>
          <w:lang w:val="en-US" w:eastAsia="zh-CN"/>
        </w:rPr>
        <w:t>西北</w:t>
      </w:r>
      <w:r>
        <w:rPr>
          <w:rFonts w:hint="eastAsia" w:ascii="宋体" w:hAnsi="宋体" w:eastAsia="宋体" w:cs="宋体"/>
          <w:color w:val="auto"/>
          <w:lang w:val="en-US" w:eastAsia="zh-CN"/>
        </w:rPr>
        <w:t>角</w:t>
      </w:r>
      <w:r>
        <w:rPr>
          <w:rFonts w:hint="eastAsia" w:ascii="宋体" w:hAnsi="宋体" w:eastAsia="宋体" w:cs="宋体"/>
          <w:color w:val="auto"/>
        </w:rPr>
        <w:t>总</w:t>
      </w:r>
      <w:r>
        <w:rPr>
          <w:rFonts w:hint="eastAsia" w:ascii="宋体" w:hAnsi="宋体" w:eastAsia="宋体" w:cs="宋体"/>
          <w:color w:val="auto"/>
          <w:lang w:val="en-US" w:eastAsia="zh-CN"/>
        </w:rPr>
        <w:t>水源位置</w:t>
      </w:r>
      <w:r>
        <w:rPr>
          <w:rFonts w:hint="eastAsia" w:ascii="宋体" w:hAnsi="宋体" w:eastAsia="宋体" w:cs="宋体"/>
          <w:color w:val="auto"/>
        </w:rPr>
        <w:t>给水管引出至生活区，分别设置若干水龙头。</w:t>
      </w:r>
    </w:p>
    <w:p>
      <w:pPr>
        <w:pStyle w:val="4"/>
        <w:shd w:val="clear"/>
        <w:spacing w:before="156" w:after="156"/>
      </w:pPr>
      <w:bookmarkStart w:id="50" w:name="_Toc2230"/>
      <w:r>
        <w:rPr>
          <w:rFonts w:hint="eastAsia"/>
        </w:rPr>
        <w:t>第</w:t>
      </w:r>
      <w:r>
        <w:rPr>
          <w:rFonts w:hint="eastAsia"/>
          <w:lang w:val="en-US" w:eastAsia="zh-CN"/>
        </w:rPr>
        <w:t>七</w:t>
      </w:r>
      <w:r>
        <w:rPr>
          <w:rFonts w:hint="eastAsia"/>
        </w:rPr>
        <w:t>节  临时</w:t>
      </w:r>
      <w:r>
        <w:rPr>
          <w:rFonts w:hint="eastAsia"/>
          <w:lang w:val="en-US" w:eastAsia="zh-CN"/>
        </w:rPr>
        <w:t>用电布置</w:t>
      </w:r>
      <w:bookmarkEnd w:id="45"/>
      <w:bookmarkEnd w:id="46"/>
      <w:bookmarkEnd w:id="47"/>
      <w:bookmarkEnd w:id="48"/>
      <w:bookmarkEnd w:id="49"/>
      <w:bookmarkEnd w:id="50"/>
    </w:p>
    <w:p>
      <w:pPr>
        <w:shd w:val="clear"/>
        <w:spacing w:line="360" w:lineRule="auto"/>
        <w:ind w:firstLine="480" w:firstLineChars="200"/>
        <w:outlineLvl w:val="2"/>
        <w:rPr>
          <w:rFonts w:hint="eastAsia" w:ascii="宋体" w:hAnsi="宋体" w:eastAsia="宋体" w:cs="宋体"/>
          <w:b/>
          <w:color w:val="000000" w:themeColor="text1"/>
          <w:lang w:val="en-US" w:eastAsia="zh-CN"/>
          <w14:textFill>
            <w14:solidFill>
              <w14:schemeClr w14:val="tx1"/>
            </w14:solidFill>
          </w14:textFill>
        </w:rPr>
      </w:pPr>
      <w:bookmarkStart w:id="51" w:name="_Toc436765873"/>
      <w:r>
        <w:rPr>
          <w:rFonts w:hint="eastAsia" w:ascii="宋体" w:hAnsi="宋体" w:cs="宋体"/>
          <w:b/>
          <w:color w:val="000000" w:themeColor="text1"/>
          <w14:textFill>
            <w14:solidFill>
              <w14:schemeClr w14:val="tx1"/>
            </w14:solidFill>
          </w14:textFill>
        </w:rPr>
        <w:t>一、施工用电</w:t>
      </w:r>
      <w:bookmarkEnd w:id="51"/>
      <w:r>
        <w:rPr>
          <w:rFonts w:hint="eastAsia" w:ascii="宋体" w:hAnsi="宋体" w:cs="宋体"/>
          <w:b/>
          <w:color w:val="000000" w:themeColor="text1"/>
          <w:lang w:val="en-US" w:eastAsia="zh-CN"/>
          <w14:textFill>
            <w14:solidFill>
              <w14:schemeClr w14:val="tx1"/>
            </w14:solidFill>
          </w14:textFill>
        </w:rPr>
        <w:t xml:space="preserve"> </w:t>
      </w:r>
    </w:p>
    <w:p>
      <w:pPr>
        <w:pStyle w:val="7"/>
        <w:numPr>
          <w:ilvl w:val="0"/>
          <w:numId w:val="14"/>
        </w:numPr>
        <w:shd w:val="clear"/>
        <w:bidi w:val="0"/>
        <w:rPr>
          <w:rFonts w:hint="eastAsia"/>
        </w:rPr>
      </w:pPr>
      <w:r>
        <w:rPr>
          <w:rFonts w:hint="eastAsia"/>
        </w:rPr>
        <w:t>临时用电布置设计</w:t>
      </w:r>
    </w:p>
    <w:tbl>
      <w:tblPr>
        <w:tblStyle w:val="54"/>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17"/>
        <w:gridCol w:w="8777"/>
      </w:tblGrid>
      <w:tr>
        <w:trPr>
          <w:trHeight w:val="0" w:hRule="atLeast"/>
          <w:tblHeader/>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77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具体内容</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8777" w:type="dxa"/>
            <w:shd w:val="clear" w:color="auto" w:fill="auto"/>
          </w:tcPr>
          <w:p>
            <w:pPr>
              <w:keepNext w:val="0"/>
              <w:keepLines w:val="0"/>
              <w:widowControl/>
              <w:suppressLineNumbers w:val="0"/>
              <w:shd w:val="clear"/>
              <w:spacing w:before="0" w:beforeAutospacing="0" w:after="0" w:afterAutospacing="0"/>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在施工场地</w:t>
            </w:r>
            <w:r>
              <w:rPr>
                <w:rFonts w:hint="eastAsia" w:ascii="宋体" w:hAnsi="宋体" w:cs="宋体"/>
                <w:color w:val="auto"/>
                <w:kern w:val="0"/>
                <w:sz w:val="21"/>
                <w:szCs w:val="21"/>
                <w:lang w:val="en-US" w:eastAsia="zh-CN" w:bidi="ar"/>
              </w:rPr>
              <w:t>东</w:t>
            </w:r>
            <w:r>
              <w:rPr>
                <w:rFonts w:hint="eastAsia" w:ascii="宋体" w:hAnsi="宋体" w:eastAsia="宋体" w:cs="宋体"/>
                <w:color w:val="auto"/>
                <w:kern w:val="0"/>
                <w:sz w:val="21"/>
                <w:szCs w:val="21"/>
                <w:lang w:val="en-US" w:eastAsia="zh-CN" w:bidi="ar"/>
              </w:rPr>
              <w:t>北侧外由</w:t>
            </w:r>
            <w:r>
              <w:rPr>
                <w:rFonts w:hint="eastAsia" w:ascii="宋体" w:hAnsi="宋体" w:cs="宋体"/>
                <w:color w:val="auto"/>
                <w:kern w:val="0"/>
                <w:sz w:val="21"/>
                <w:szCs w:val="21"/>
                <w:lang w:val="en-US" w:eastAsia="zh-CN" w:bidi="ar"/>
              </w:rPr>
              <w:t>园区</w:t>
            </w:r>
            <w:r>
              <w:rPr>
                <w:rFonts w:hint="eastAsia" w:ascii="宋体" w:hAnsi="宋体" w:eastAsia="宋体" w:cs="宋体"/>
                <w:color w:val="auto"/>
                <w:kern w:val="0"/>
                <w:sz w:val="21"/>
                <w:szCs w:val="21"/>
                <w:lang w:val="en-US" w:eastAsia="zh-CN" w:bidi="ar"/>
              </w:rPr>
              <w:t xml:space="preserve">提供一台 </w:t>
            </w:r>
            <w:r>
              <w:rPr>
                <w:rFonts w:hint="eastAsia" w:ascii="宋体" w:hAnsi="宋体" w:cs="宋体"/>
                <w:color w:val="auto"/>
                <w:kern w:val="0"/>
                <w:sz w:val="21"/>
                <w:szCs w:val="21"/>
                <w:lang w:val="en-US" w:eastAsia="zh-CN" w:bidi="ar"/>
              </w:rPr>
              <w:t>630</w:t>
            </w:r>
            <w:r>
              <w:rPr>
                <w:rFonts w:hint="eastAsia" w:ascii="宋体" w:hAnsi="宋体" w:eastAsia="宋体" w:cs="宋体"/>
                <w:color w:val="auto"/>
                <w:kern w:val="0"/>
                <w:sz w:val="21"/>
                <w:szCs w:val="21"/>
                <w:lang w:val="en-US" w:eastAsia="zh-CN" w:bidi="ar"/>
              </w:rPr>
              <w:t>KVA 临时箱式变压器。</w:t>
            </w:r>
            <w:r>
              <w:rPr>
                <w:rFonts w:hint="eastAsia" w:ascii="宋体" w:hAnsi="宋体" w:eastAsia="宋体" w:cs="宋体"/>
                <w:color w:val="auto"/>
                <w:sz w:val="21"/>
                <w:szCs w:val="21"/>
              </w:rPr>
              <w:t xml:space="preserve"> </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8777"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color w:val="auto"/>
                <w:sz w:val="21"/>
                <w:szCs w:val="21"/>
              </w:rPr>
            </w:pPr>
            <w:r>
              <w:rPr>
                <w:rFonts w:hint="eastAsia" w:ascii="宋体" w:hAnsi="宋体" w:eastAsia="宋体" w:cs="宋体"/>
                <w:color w:val="auto"/>
                <w:spacing w:val="-4"/>
                <w:sz w:val="21"/>
                <w:szCs w:val="21"/>
              </w:rPr>
              <w:t xml:space="preserve">为应对突然停电，确保电梯、水泵等设备维持运行不断电，在现场预备 </w:t>
            </w:r>
            <w:r>
              <w:rPr>
                <w:rFonts w:hint="eastAsia" w:ascii="宋体" w:hAnsi="宋体" w:eastAsia="宋体" w:cs="宋体"/>
                <w:color w:val="auto"/>
                <w:spacing w:val="-3"/>
                <w:sz w:val="21"/>
                <w:szCs w:val="21"/>
              </w:rPr>
              <w:t>1</w:t>
            </w:r>
            <w:r>
              <w:rPr>
                <w:rFonts w:hint="eastAsia" w:ascii="宋体" w:hAnsi="宋体" w:eastAsia="宋体" w:cs="宋体"/>
                <w:color w:val="auto"/>
                <w:spacing w:val="-2"/>
                <w:sz w:val="21"/>
                <w:szCs w:val="21"/>
              </w:rPr>
              <w:t xml:space="preserve"> 台</w:t>
            </w:r>
            <w:r>
              <w:rPr>
                <w:rFonts w:hint="eastAsia" w:ascii="宋体" w:hAnsi="宋体" w:eastAsia="宋体" w:cs="宋体"/>
                <w:color w:val="auto"/>
                <w:sz w:val="21"/>
                <w:szCs w:val="21"/>
              </w:rPr>
              <w:t xml:space="preserve">500kW的柴油发电机，与临时用电线路并网，一旦停电，可自动切换到应急模式，给上述设备供电维持运行。 </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cs="宋体"/>
                <w:sz w:val="21"/>
                <w:szCs w:val="21"/>
                <w:lang w:val="en-US" w:eastAsia="zh-CN"/>
              </w:rPr>
              <w:t>3</w:t>
            </w:r>
          </w:p>
        </w:tc>
        <w:tc>
          <w:tcPr>
            <w:tcW w:w="8777"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default" w:ascii="宋体" w:hAnsi="宋体" w:eastAsia="宋体" w:cs="宋体"/>
                <w:color w:val="auto"/>
                <w:spacing w:val="-4"/>
                <w:sz w:val="21"/>
                <w:szCs w:val="21"/>
                <w:lang w:val="en-US" w:eastAsia="zh-CN"/>
              </w:rPr>
            </w:pPr>
            <w:r>
              <w:rPr>
                <w:rFonts w:hint="eastAsia" w:cs="宋体"/>
                <w:color w:val="auto"/>
                <w:spacing w:val="-4"/>
                <w:sz w:val="21"/>
                <w:szCs w:val="21"/>
                <w:lang w:eastAsia="zh-CN"/>
              </w:rPr>
              <w:t>根据项目实际情况，本工程拟在施工现场设置</w:t>
            </w:r>
            <w:r>
              <w:rPr>
                <w:rFonts w:hint="eastAsia" w:cs="宋体"/>
                <w:color w:val="auto"/>
                <w:spacing w:val="-4"/>
                <w:sz w:val="21"/>
                <w:szCs w:val="21"/>
                <w:lang w:val="en-US" w:eastAsia="zh-CN"/>
              </w:rPr>
              <w:t>3个一级总配箱向各用电设备分路送电。</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eastAsia="zh-CN"/>
              </w:rPr>
            </w:pPr>
            <w:r>
              <w:rPr>
                <w:rFonts w:hint="eastAsia" w:cs="宋体"/>
                <w:sz w:val="21"/>
                <w:szCs w:val="21"/>
                <w:lang w:val="en-US" w:eastAsia="zh-CN"/>
              </w:rPr>
              <w:t>4</w:t>
            </w:r>
          </w:p>
        </w:tc>
        <w:tc>
          <w:tcPr>
            <w:tcW w:w="8777"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color w:val="auto"/>
                <w:sz w:val="21"/>
                <w:szCs w:val="21"/>
              </w:rPr>
            </w:pPr>
            <w:r>
              <w:rPr>
                <w:rFonts w:hint="eastAsia" w:ascii="宋体" w:hAnsi="宋体" w:eastAsia="宋体" w:cs="宋体"/>
                <w:color w:val="auto"/>
                <w:spacing w:val="-3"/>
                <w:sz w:val="21"/>
                <w:szCs w:val="21"/>
              </w:rPr>
              <w:t>由一级配电箱引出三到四路</w:t>
            </w:r>
            <w:r>
              <w:rPr>
                <w:rFonts w:hint="eastAsia" w:ascii="宋体" w:hAnsi="宋体" w:eastAsia="宋体" w:cs="宋体"/>
                <w:color w:val="auto"/>
                <w:spacing w:val="-4"/>
                <w:sz w:val="21"/>
                <w:szCs w:val="21"/>
              </w:rPr>
              <w:t>，接</w:t>
            </w:r>
            <w:r>
              <w:rPr>
                <w:rFonts w:hint="eastAsia" w:cs="宋体"/>
                <w:color w:val="auto"/>
                <w:spacing w:val="-4"/>
                <w:sz w:val="21"/>
                <w:szCs w:val="21"/>
                <w:lang w:val="en-US" w:eastAsia="zh-CN"/>
              </w:rPr>
              <w:t>二级</w:t>
            </w:r>
            <w:r>
              <w:rPr>
                <w:rFonts w:hint="eastAsia" w:ascii="宋体" w:hAnsi="宋体" w:eastAsia="宋体" w:cs="宋体"/>
                <w:color w:val="auto"/>
                <w:spacing w:val="-4"/>
                <w:sz w:val="21"/>
                <w:szCs w:val="21"/>
              </w:rPr>
              <w:t>配电箱。每一台塔吊、</w:t>
            </w:r>
            <w:r>
              <w:rPr>
                <w:rFonts w:hint="eastAsia" w:ascii="宋体" w:hAnsi="宋体" w:eastAsia="宋体" w:cs="宋体"/>
                <w:color w:val="auto"/>
                <w:spacing w:val="-4"/>
                <w:sz w:val="21"/>
                <w:szCs w:val="21"/>
                <w:lang w:eastAsia="zh-CN"/>
              </w:rPr>
              <w:t>施工电梯</w:t>
            </w:r>
            <w:r>
              <w:rPr>
                <w:rFonts w:hint="eastAsia" w:ascii="宋体" w:hAnsi="宋体" w:eastAsia="宋体" w:cs="宋体"/>
                <w:color w:val="auto"/>
                <w:spacing w:val="-4"/>
                <w:sz w:val="21"/>
                <w:szCs w:val="21"/>
              </w:rPr>
              <w:t>都配备一个二级配电箱，施工区域二级配电箱根据不同施工阶段需求不同，引至不同位置，供电焊机、砼泵、加工厂设备、砼振捣设备以及办公用电、现场照明用电等。因塔吊设备功率较大，每条线路负荷</w:t>
            </w:r>
            <w:r>
              <w:rPr>
                <w:rFonts w:hint="eastAsia" w:ascii="宋体" w:hAnsi="宋体" w:eastAsia="宋体" w:cs="宋体"/>
                <w:color w:val="auto"/>
                <w:sz w:val="21"/>
                <w:szCs w:val="21"/>
              </w:rPr>
              <w:t xml:space="preserve">一台塔吊，其余用电点按照就近原则及结合平均分配负荷的原则进行分配。 </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eastAsia="zh-CN"/>
              </w:rPr>
            </w:pPr>
            <w:r>
              <w:rPr>
                <w:rFonts w:hint="eastAsia" w:cs="宋体"/>
                <w:sz w:val="21"/>
                <w:szCs w:val="21"/>
                <w:lang w:val="en-US" w:eastAsia="zh-CN"/>
              </w:rPr>
              <w:t>5</w:t>
            </w:r>
          </w:p>
        </w:tc>
        <w:tc>
          <w:tcPr>
            <w:tcW w:w="8777"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现场夜间施工采用</w:t>
            </w:r>
            <w:r>
              <w:rPr>
                <w:rFonts w:hint="eastAsia" w:ascii="宋体" w:hAnsi="宋体" w:eastAsia="宋体" w:cs="宋体"/>
                <w:sz w:val="21"/>
                <w:szCs w:val="21"/>
                <w:lang w:val="en-US"/>
              </w:rPr>
              <w:t>LED</w:t>
            </w:r>
            <w:r>
              <w:rPr>
                <w:rFonts w:hint="eastAsia" w:ascii="宋体" w:hAnsi="宋体" w:eastAsia="宋体" w:cs="宋体"/>
                <w:sz w:val="21"/>
                <w:szCs w:val="21"/>
              </w:rPr>
              <w:t>灯照明，</w:t>
            </w:r>
            <w:r>
              <w:rPr>
                <w:rFonts w:hint="eastAsia" w:ascii="宋体" w:hAnsi="宋体" w:eastAsia="宋体" w:cs="宋体"/>
                <w:sz w:val="21"/>
                <w:szCs w:val="21"/>
                <w:lang w:val="en-US"/>
              </w:rPr>
              <w:t>LED大</w:t>
            </w:r>
            <w:r>
              <w:rPr>
                <w:rFonts w:hint="eastAsia" w:ascii="宋体" w:hAnsi="宋体" w:eastAsia="宋体" w:cs="宋体"/>
                <w:sz w:val="21"/>
                <w:szCs w:val="21"/>
              </w:rPr>
              <w:t xml:space="preserve">灯可设置在塔吊上。 </w:t>
            </w:r>
          </w:p>
        </w:tc>
      </w:tr>
      <w:tr>
        <w:trPr>
          <w:trHeight w:val="0" w:hRule="atLeast"/>
          <w:jc w:val="center"/>
        </w:trPr>
        <w:tc>
          <w:tcPr>
            <w:tcW w:w="91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cs="宋体"/>
                <w:sz w:val="21"/>
                <w:szCs w:val="21"/>
                <w:lang w:val="en-US" w:eastAsia="zh-CN"/>
              </w:rPr>
              <w:t>6</w:t>
            </w:r>
          </w:p>
        </w:tc>
        <w:tc>
          <w:tcPr>
            <w:tcW w:w="8777"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sz w:val="21"/>
                <w:szCs w:val="21"/>
              </w:rPr>
            </w:pPr>
            <w:r>
              <w:rPr>
                <w:sz w:val="21"/>
                <w:szCs w:val="21"/>
              </w:rPr>
              <w:drawing>
                <wp:inline distT="0" distB="0" distL="114300" distR="114300">
                  <wp:extent cx="2733675" cy="2367915"/>
                  <wp:effectExtent l="0" t="0" r="9525" b="13335"/>
                  <wp:docPr id="7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图片 19"/>
                          <pic:cNvPicPr>
                            <a:picLocks noChangeAspect="1"/>
                          </pic:cNvPicPr>
                        </pic:nvPicPr>
                        <pic:blipFill>
                          <a:blip r:embed="rId63"/>
                          <a:stretch>
                            <a:fillRect/>
                          </a:stretch>
                        </pic:blipFill>
                        <pic:spPr>
                          <a:xfrm>
                            <a:off x="0" y="0"/>
                            <a:ext cx="2733675" cy="2367915"/>
                          </a:xfrm>
                          <a:prstGeom prst="rect">
                            <a:avLst/>
                          </a:prstGeom>
                          <a:noFill/>
                          <a:ln>
                            <a:noFill/>
                          </a:ln>
                        </pic:spPr>
                      </pic:pic>
                    </a:graphicData>
                  </a:graphic>
                </wp:inline>
              </w:drawing>
            </w:r>
            <w:r>
              <w:rPr>
                <w:sz w:val="21"/>
                <w:szCs w:val="21"/>
              </w:rPr>
              <w:drawing>
                <wp:inline distT="0" distB="0" distL="114300" distR="114300">
                  <wp:extent cx="2573655" cy="2390775"/>
                  <wp:effectExtent l="0" t="0" r="17145" b="9525"/>
                  <wp:docPr id="7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图片 20"/>
                          <pic:cNvPicPr>
                            <a:picLocks noChangeAspect="1"/>
                          </pic:cNvPicPr>
                        </pic:nvPicPr>
                        <pic:blipFill>
                          <a:blip r:embed="rId64"/>
                          <a:stretch>
                            <a:fillRect/>
                          </a:stretch>
                        </pic:blipFill>
                        <pic:spPr>
                          <a:xfrm>
                            <a:off x="0" y="0"/>
                            <a:ext cx="2573655" cy="2390775"/>
                          </a:xfrm>
                          <a:prstGeom prst="rect">
                            <a:avLst/>
                          </a:prstGeom>
                          <a:noFill/>
                          <a:ln>
                            <a:noFill/>
                          </a:ln>
                        </pic:spPr>
                      </pic:pic>
                    </a:graphicData>
                  </a:graphic>
                </wp:inline>
              </w:drawing>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eastAsia="宋体"/>
                <w:sz w:val="21"/>
                <w:szCs w:val="21"/>
                <w:lang w:eastAsia="zh-CN"/>
              </w:rPr>
            </w:pPr>
            <w:r>
              <w:rPr>
                <w:rFonts w:hint="eastAsia"/>
                <w:sz w:val="21"/>
                <w:szCs w:val="21"/>
                <w:lang w:eastAsia="zh-CN"/>
              </w:rPr>
              <w:t>施工总配电房设置</w:t>
            </w:r>
          </w:p>
        </w:tc>
      </w:tr>
    </w:tbl>
    <w:p>
      <w:pPr>
        <w:pStyle w:val="7"/>
        <w:shd w:val="clear"/>
        <w:bidi w:val="0"/>
        <w:rPr>
          <w:rFonts w:hint="eastAsia"/>
        </w:rPr>
      </w:pPr>
      <w:r>
        <w:rPr>
          <w:rFonts w:hint="eastAsia"/>
          <w:lang w:val="en-US" w:eastAsia="zh-CN"/>
        </w:rPr>
        <w:t>2、</w:t>
      </w:r>
      <w:r>
        <w:rPr>
          <w:rFonts w:hint="eastAsia"/>
        </w:rPr>
        <w:t>临时用电布置</w:t>
      </w:r>
    </w:p>
    <w:tbl>
      <w:tblPr>
        <w:tblStyle w:val="54"/>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5"/>
        <w:gridCol w:w="8754"/>
      </w:tblGrid>
      <w:tr>
        <w:trPr>
          <w:trHeight w:val="0" w:hRule="atLeast"/>
          <w:tblHeader/>
          <w:jc w:val="center"/>
        </w:trPr>
        <w:tc>
          <w:tcPr>
            <w:tcW w:w="925"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754"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具体内容</w:t>
            </w:r>
          </w:p>
        </w:tc>
      </w:tr>
      <w:tr>
        <w:trPr>
          <w:trHeight w:val="0" w:hRule="atLeast"/>
          <w:jc w:val="center"/>
        </w:trPr>
        <w:tc>
          <w:tcPr>
            <w:tcW w:w="925"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8754"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 xml:space="preserve">现场临时用电采取 TN-S 供电系统，放射式多路主干线送至各用电区域，然后在每个供电区域内再分级放射式构成配电网络。现场施工用电按《施工现场临时用电安全技术规范》执行。 </w:t>
            </w:r>
          </w:p>
        </w:tc>
      </w:tr>
      <w:tr>
        <w:trPr>
          <w:trHeight w:val="0" w:hRule="atLeast"/>
          <w:jc w:val="center"/>
        </w:trPr>
        <w:tc>
          <w:tcPr>
            <w:tcW w:w="925"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8754"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spacing w:val="-3"/>
                <w:sz w:val="21"/>
                <w:szCs w:val="21"/>
              </w:rPr>
            </w:pPr>
            <w:r>
              <w:rPr>
                <w:rFonts w:hint="eastAsia" w:ascii="宋体" w:hAnsi="宋体" w:eastAsia="宋体" w:cs="宋体"/>
                <w:spacing w:val="-3"/>
                <w:sz w:val="21"/>
                <w:szCs w:val="21"/>
              </w:rPr>
              <w:t>现场箱变下面设置一级配电箱，若干二级配电箱，用电区域内的用电设备配置相应的三级配电箱，根据施工阶段的转换，用电线路随用电设备的增加或减少而改变。</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 xml:space="preserve"> </w:t>
            </w:r>
            <w:r>
              <w:rPr>
                <w:sz w:val="21"/>
                <w:szCs w:val="21"/>
              </w:rPr>
              <w:drawing>
                <wp:inline distT="0" distB="0" distL="114300" distR="114300">
                  <wp:extent cx="4564380" cy="2454275"/>
                  <wp:effectExtent l="0" t="0" r="7620" b="3175"/>
                  <wp:docPr id="76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图片 24"/>
                          <pic:cNvPicPr>
                            <a:picLocks noChangeAspect="1"/>
                          </pic:cNvPicPr>
                        </pic:nvPicPr>
                        <pic:blipFill>
                          <a:blip r:embed="rId65"/>
                          <a:stretch>
                            <a:fillRect/>
                          </a:stretch>
                        </pic:blipFill>
                        <pic:spPr>
                          <a:xfrm>
                            <a:off x="0" y="0"/>
                            <a:ext cx="4564380" cy="2454275"/>
                          </a:xfrm>
                          <a:prstGeom prst="rect">
                            <a:avLst/>
                          </a:prstGeom>
                          <a:noFill/>
                          <a:ln>
                            <a:noFill/>
                          </a:ln>
                        </pic:spPr>
                      </pic:pic>
                    </a:graphicData>
                  </a:graphic>
                </wp:inline>
              </w:drawing>
            </w:r>
          </w:p>
        </w:tc>
      </w:tr>
      <w:tr>
        <w:trPr>
          <w:trHeight w:val="0" w:hRule="atLeast"/>
          <w:jc w:val="center"/>
        </w:trPr>
        <w:tc>
          <w:tcPr>
            <w:tcW w:w="925"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8754"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pacing w:val="-3"/>
                <w:sz w:val="21"/>
                <w:szCs w:val="21"/>
              </w:rPr>
              <w:t>施工现场用电设备分散，电缆线路的敷设主要为埋地布置。本方案电缆线路的结构和敷设除按照《施工现场临时用电安全技术规范》进行设计外，同时考虑选择最短路径并</w:t>
            </w:r>
            <w:r>
              <w:rPr>
                <w:rFonts w:hint="eastAsia" w:cs="宋体"/>
                <w:spacing w:val="-3"/>
                <w:sz w:val="21"/>
                <w:szCs w:val="21"/>
                <w:lang w:eastAsia="zh-CN"/>
              </w:rPr>
              <w:t>考虑</w:t>
            </w:r>
            <w:r>
              <w:rPr>
                <w:rFonts w:hint="eastAsia" w:ascii="宋体" w:hAnsi="宋体" w:eastAsia="宋体" w:cs="宋体"/>
                <w:spacing w:val="-3"/>
                <w:sz w:val="21"/>
                <w:szCs w:val="21"/>
              </w:rPr>
              <w:t>拟建建筑物的位置，尽量减少穿越材料堆放区，不致受到各种机械损</w:t>
            </w:r>
            <w:r>
              <w:rPr>
                <w:rFonts w:hint="eastAsia" w:ascii="宋体" w:hAnsi="宋体" w:eastAsia="宋体" w:cs="宋体"/>
                <w:sz w:val="21"/>
                <w:szCs w:val="21"/>
              </w:rPr>
              <w:t xml:space="preserve">伤和腐蚀，便于架设和维修。 </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sz w:val="21"/>
                <w:szCs w:val="21"/>
              </w:rPr>
              <w:drawing>
                <wp:inline distT="0" distB="0" distL="114300" distR="114300">
                  <wp:extent cx="4860925" cy="2199005"/>
                  <wp:effectExtent l="0" t="0" r="15875" b="10795"/>
                  <wp:docPr id="76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图片 23"/>
                          <pic:cNvPicPr>
                            <a:picLocks noChangeAspect="1"/>
                          </pic:cNvPicPr>
                        </pic:nvPicPr>
                        <pic:blipFill>
                          <a:blip r:embed="rId66"/>
                          <a:stretch>
                            <a:fillRect/>
                          </a:stretch>
                        </pic:blipFill>
                        <pic:spPr>
                          <a:xfrm>
                            <a:off x="0" y="0"/>
                            <a:ext cx="4860925" cy="2199005"/>
                          </a:xfrm>
                          <a:prstGeom prst="rect">
                            <a:avLst/>
                          </a:prstGeom>
                          <a:noFill/>
                          <a:ln>
                            <a:noFill/>
                          </a:ln>
                        </pic:spPr>
                      </pic:pic>
                    </a:graphicData>
                  </a:graphic>
                </wp:inline>
              </w:drawing>
            </w:r>
          </w:p>
        </w:tc>
      </w:tr>
      <w:tr>
        <w:trPr>
          <w:trHeight w:val="0" w:hRule="atLeast"/>
          <w:jc w:val="center"/>
        </w:trPr>
        <w:tc>
          <w:tcPr>
            <w:tcW w:w="925"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4</w:t>
            </w:r>
          </w:p>
        </w:tc>
        <w:tc>
          <w:tcPr>
            <w:tcW w:w="8754"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一般各配电箱、电机、机械设备等所有不带电的金属外壳均应作可靠接地，接地电阻不大于 10Ω，如达不到要求，可由现场加接地极或加降阻剂等。接地应与现场配电室的接地系统可靠连接。接地装置的做法参见国标。</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sz w:val="21"/>
                <w:szCs w:val="21"/>
              </w:rPr>
              <w:drawing>
                <wp:inline distT="0" distB="0" distL="114300" distR="114300">
                  <wp:extent cx="4853305" cy="2341245"/>
                  <wp:effectExtent l="0" t="0" r="4445" b="1905"/>
                  <wp:docPr id="76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 name="图片 25"/>
                          <pic:cNvPicPr>
                            <a:picLocks noChangeAspect="1"/>
                          </pic:cNvPicPr>
                        </pic:nvPicPr>
                        <pic:blipFill>
                          <a:blip r:embed="rId67"/>
                          <a:srcRect b="2832"/>
                          <a:stretch>
                            <a:fillRect/>
                          </a:stretch>
                        </pic:blipFill>
                        <pic:spPr>
                          <a:xfrm>
                            <a:off x="0" y="0"/>
                            <a:ext cx="4853305" cy="2341245"/>
                          </a:xfrm>
                          <a:prstGeom prst="rect">
                            <a:avLst/>
                          </a:prstGeom>
                          <a:noFill/>
                          <a:ln>
                            <a:noFill/>
                          </a:ln>
                        </pic:spPr>
                      </pic:pic>
                    </a:graphicData>
                  </a:graphic>
                </wp:inline>
              </w:drawing>
            </w:r>
          </w:p>
        </w:tc>
      </w:tr>
    </w:tbl>
    <w:p>
      <w:pPr>
        <w:pStyle w:val="7"/>
        <w:shd w:val="clear"/>
        <w:bidi w:val="0"/>
        <w:ind w:left="0" w:leftChars="0" w:firstLine="480" w:firstLineChars="200"/>
        <w:rPr>
          <w:rFonts w:hint="eastAsia"/>
        </w:rPr>
      </w:pPr>
      <w:r>
        <w:rPr>
          <w:rFonts w:hint="eastAsia"/>
          <w:lang w:val="en-US" w:eastAsia="zh-CN"/>
        </w:rPr>
        <w:t>3、</w:t>
      </w:r>
      <w:r>
        <w:rPr>
          <w:rFonts w:hint="eastAsia"/>
        </w:rPr>
        <w:t>现场照明布置</w:t>
      </w:r>
    </w:p>
    <w:p>
      <w:pPr>
        <w:pStyle w:val="253"/>
        <w:shd w:val="clear"/>
        <w:kinsoku/>
        <w:wordWrap/>
        <w:bidi w:val="0"/>
        <w:snapToGrid w:val="0"/>
        <w:spacing w:line="300" w:lineRule="auto"/>
        <w:ind w:firstLine="560"/>
        <w:rPr>
          <w:rFonts w:hint="eastAsia" w:ascii="宋体" w:hAnsi="宋体" w:eastAsia="宋体" w:cs="宋体"/>
          <w:sz w:val="24"/>
          <w:szCs w:val="24"/>
        </w:rPr>
      </w:pPr>
      <w:r>
        <w:rPr>
          <w:rFonts w:hint="eastAsia" w:ascii="宋体" w:hAnsi="宋体" w:eastAsia="宋体" w:cs="宋体"/>
          <w:sz w:val="24"/>
          <w:szCs w:val="24"/>
        </w:rPr>
        <w:t>工程临时照明主要分为地下室照明、楼内部照明、施工总平面照明和分包作业面照明，各类照明方式供电方式、导线选择及灯具选择如下表所示：</w:t>
      </w:r>
    </w:p>
    <w:tbl>
      <w:tblPr>
        <w:tblStyle w:val="54"/>
        <w:tblW w:w="9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57"/>
        <w:gridCol w:w="1839"/>
        <w:gridCol w:w="2124"/>
        <w:gridCol w:w="2482"/>
        <w:gridCol w:w="2362"/>
      </w:tblGrid>
      <w:tr>
        <w:trPr>
          <w:trHeight w:val="0" w:hRule="atLeast"/>
          <w:tblHeader/>
          <w:jc w:val="center"/>
        </w:trPr>
        <w:tc>
          <w:tcPr>
            <w:tcW w:w="8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3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供电位置</w:t>
            </w:r>
          </w:p>
        </w:tc>
        <w:tc>
          <w:tcPr>
            <w:tcW w:w="2124"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供电方式</w:t>
            </w:r>
          </w:p>
        </w:tc>
        <w:tc>
          <w:tcPr>
            <w:tcW w:w="248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导线及铺设方式</w:t>
            </w:r>
          </w:p>
        </w:tc>
        <w:tc>
          <w:tcPr>
            <w:tcW w:w="236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灯具选择</w:t>
            </w:r>
          </w:p>
        </w:tc>
      </w:tr>
      <w:tr>
        <w:trPr>
          <w:trHeight w:val="0" w:hRule="atLeast"/>
          <w:jc w:val="center"/>
        </w:trPr>
        <w:tc>
          <w:tcPr>
            <w:tcW w:w="8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183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楼内照明</w:t>
            </w:r>
          </w:p>
        </w:tc>
        <w:tc>
          <w:tcPr>
            <w:tcW w:w="2124"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楼内 36V 低压照明配电箱</w:t>
            </w:r>
          </w:p>
        </w:tc>
        <w:tc>
          <w:tcPr>
            <w:tcW w:w="248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铜线明敷于顶板</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或墙面</w:t>
            </w:r>
          </w:p>
        </w:tc>
        <w:tc>
          <w:tcPr>
            <w:tcW w:w="236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40W 节能灯</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（36V）</w:t>
            </w:r>
          </w:p>
        </w:tc>
      </w:tr>
      <w:tr>
        <w:trPr>
          <w:trHeight w:val="0" w:hRule="atLeast"/>
          <w:jc w:val="center"/>
        </w:trPr>
        <w:tc>
          <w:tcPr>
            <w:tcW w:w="8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183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pacing w:val="-1"/>
                <w:sz w:val="21"/>
                <w:szCs w:val="21"/>
              </w:rPr>
            </w:pPr>
            <w:r>
              <w:rPr>
                <w:rFonts w:hint="eastAsia" w:ascii="宋体" w:hAnsi="宋体" w:eastAsia="宋体" w:cs="宋体"/>
                <w:spacing w:val="-1"/>
                <w:sz w:val="21"/>
                <w:szCs w:val="21"/>
              </w:rPr>
              <w:t>施工总平面</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pacing w:val="-2"/>
                <w:sz w:val="21"/>
                <w:szCs w:val="21"/>
              </w:rPr>
              <w:t>照明</w:t>
            </w:r>
          </w:p>
        </w:tc>
        <w:tc>
          <w:tcPr>
            <w:tcW w:w="2124"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pacing w:val="-2"/>
                <w:sz w:val="21"/>
                <w:szCs w:val="21"/>
              </w:rPr>
              <w:t xml:space="preserve">地面临时照明 </w:t>
            </w:r>
            <w:r>
              <w:rPr>
                <w:rFonts w:hint="eastAsia" w:ascii="宋体" w:hAnsi="宋体" w:eastAsia="宋体" w:cs="宋体"/>
                <w:spacing w:val="-1"/>
                <w:sz w:val="21"/>
                <w:szCs w:val="21"/>
              </w:rPr>
              <w:t>二级箱</w:t>
            </w:r>
          </w:p>
        </w:tc>
        <w:tc>
          <w:tcPr>
            <w:tcW w:w="248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电缆埋地敷设</w:t>
            </w:r>
          </w:p>
        </w:tc>
        <w:tc>
          <w:tcPr>
            <w:tcW w:w="2362"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2KwLED 节能</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灯（380V）</w:t>
            </w:r>
          </w:p>
        </w:tc>
      </w:tr>
      <w:tr>
        <w:trPr>
          <w:trHeight w:val="0" w:hRule="atLeast"/>
          <w:jc w:val="center"/>
        </w:trPr>
        <w:tc>
          <w:tcPr>
            <w:tcW w:w="8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183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pacing w:val="-1"/>
                <w:sz w:val="21"/>
                <w:szCs w:val="21"/>
              </w:rPr>
              <w:t>分包作业面</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照明</w:t>
            </w:r>
          </w:p>
        </w:tc>
        <w:tc>
          <w:tcPr>
            <w:tcW w:w="6968" w:type="dxa"/>
            <w:gridSpan w:val="3"/>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由各分包按照总包安全用电规定自行选择供电方式、导线及灯具，分包作业面照明方案须经总包确认后方可实行。</w:t>
            </w:r>
          </w:p>
        </w:tc>
      </w:tr>
      <w:tr>
        <w:trPr>
          <w:trHeight w:val="0" w:hRule="atLeast"/>
          <w:jc w:val="center"/>
        </w:trPr>
        <w:tc>
          <w:tcPr>
            <w:tcW w:w="857"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cs="宋体"/>
                <w:sz w:val="21"/>
                <w:szCs w:val="21"/>
                <w:lang w:val="en-US" w:eastAsia="zh-CN"/>
              </w:rPr>
              <w:t>4</w:t>
            </w:r>
          </w:p>
        </w:tc>
        <w:tc>
          <w:tcPr>
            <w:tcW w:w="8807" w:type="dxa"/>
            <w:gridSpan w:val="4"/>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sz w:val="21"/>
                <w:szCs w:val="21"/>
              </w:rPr>
              <w:drawing>
                <wp:inline distT="0" distB="0" distL="114300" distR="114300">
                  <wp:extent cx="2552065" cy="2797810"/>
                  <wp:effectExtent l="0" t="0" r="635" b="2540"/>
                  <wp:docPr id="92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图片 26"/>
                          <pic:cNvPicPr>
                            <a:picLocks noChangeAspect="1"/>
                          </pic:cNvPicPr>
                        </pic:nvPicPr>
                        <pic:blipFill>
                          <a:blip r:embed="rId68"/>
                          <a:stretch>
                            <a:fillRect/>
                          </a:stretch>
                        </pic:blipFill>
                        <pic:spPr>
                          <a:xfrm>
                            <a:off x="0" y="0"/>
                            <a:ext cx="2552065" cy="2797810"/>
                          </a:xfrm>
                          <a:prstGeom prst="rect">
                            <a:avLst/>
                          </a:prstGeom>
                          <a:noFill/>
                          <a:ln>
                            <a:noFill/>
                          </a:ln>
                        </pic:spPr>
                      </pic:pic>
                    </a:graphicData>
                  </a:graphic>
                </wp:inline>
              </w:drawing>
            </w:r>
            <w:r>
              <w:rPr>
                <w:sz w:val="21"/>
                <w:szCs w:val="21"/>
              </w:rPr>
              <w:drawing>
                <wp:inline distT="0" distB="0" distL="114300" distR="114300">
                  <wp:extent cx="2742565" cy="2793365"/>
                  <wp:effectExtent l="0" t="0" r="635" b="6985"/>
                  <wp:docPr id="76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图片 27"/>
                          <pic:cNvPicPr>
                            <a:picLocks noChangeAspect="1"/>
                          </pic:cNvPicPr>
                        </pic:nvPicPr>
                        <pic:blipFill>
                          <a:blip r:embed="rId69"/>
                          <a:stretch>
                            <a:fillRect/>
                          </a:stretch>
                        </pic:blipFill>
                        <pic:spPr>
                          <a:xfrm>
                            <a:off x="0" y="0"/>
                            <a:ext cx="2742565" cy="2793365"/>
                          </a:xfrm>
                          <a:prstGeom prst="rect">
                            <a:avLst/>
                          </a:prstGeom>
                          <a:noFill/>
                          <a:ln>
                            <a:noFill/>
                          </a:ln>
                        </pic:spPr>
                      </pic:pic>
                    </a:graphicData>
                  </a:graphic>
                </wp:inline>
              </w:drawing>
            </w:r>
          </w:p>
        </w:tc>
      </w:tr>
    </w:tbl>
    <w:p>
      <w:pPr>
        <w:pStyle w:val="4"/>
        <w:shd w:val="clear"/>
        <w:spacing w:before="156" w:after="156"/>
        <w:rPr>
          <w:rFonts w:hint="eastAsia" w:ascii="宋体" w:hAnsi="宋体" w:cs="宋体"/>
          <w:color w:val="000000" w:themeColor="text1"/>
          <w:lang w:val="en-US" w:eastAsia="zh-CN"/>
          <w14:textFill>
            <w14:solidFill>
              <w14:schemeClr w14:val="tx1"/>
            </w14:solidFill>
          </w14:textFill>
        </w:rPr>
      </w:pPr>
      <w:bookmarkStart w:id="52" w:name="_Toc16689"/>
      <w:r>
        <w:rPr>
          <w:rFonts w:hint="eastAsia"/>
        </w:rPr>
        <w:t>第</w:t>
      </w:r>
      <w:r>
        <w:rPr>
          <w:rFonts w:hint="eastAsia"/>
          <w:lang w:val="en-US" w:eastAsia="zh-CN"/>
        </w:rPr>
        <w:t>八</w:t>
      </w:r>
      <w:r>
        <w:rPr>
          <w:rFonts w:hint="eastAsia"/>
        </w:rPr>
        <w:t xml:space="preserve">节  </w:t>
      </w:r>
      <w:r>
        <w:rPr>
          <w:rFonts w:hint="eastAsia"/>
          <w:lang w:val="en-US" w:eastAsia="zh-CN"/>
        </w:rPr>
        <w:t>临时消防布置</w:t>
      </w:r>
      <w:bookmarkEnd w:id="52"/>
    </w:p>
    <w:p>
      <w:pPr>
        <w:pStyle w:val="7"/>
        <w:bidi w:val="0"/>
        <w:rPr>
          <w:rFonts w:hint="eastAsia"/>
        </w:rPr>
      </w:pPr>
      <w:r>
        <w:rPr>
          <w:rFonts w:hint="eastAsia" w:ascii="宋体" w:hAnsi="宋体" w:cs="宋体"/>
          <w:color w:val="000000" w:themeColor="text1"/>
          <w:lang w:val="en-US" w:eastAsia="zh-CN"/>
          <w14:textFill>
            <w14:solidFill>
              <w14:schemeClr w14:val="tx1"/>
            </w14:solidFill>
          </w14:textFill>
        </w:rPr>
        <w:t>1、</w:t>
      </w:r>
      <w:r>
        <w:rPr>
          <w:rFonts w:hint="eastAsia"/>
        </w:rPr>
        <w:t>临时</w:t>
      </w:r>
      <w:r>
        <w:rPr>
          <w:rFonts w:hint="eastAsia"/>
          <w:lang w:eastAsia="zh-CN"/>
        </w:rPr>
        <w:t>消防</w:t>
      </w:r>
      <w:r>
        <w:rPr>
          <w:rFonts w:hint="eastAsia"/>
        </w:rPr>
        <w:t xml:space="preserve">布置设计 </w:t>
      </w:r>
    </w:p>
    <w:tbl>
      <w:tblPr>
        <w:tblStyle w:val="54"/>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10"/>
        <w:gridCol w:w="8769"/>
      </w:tblGrid>
      <w:tr>
        <w:trPr>
          <w:trHeight w:val="0" w:hRule="atLeast"/>
          <w:tblHeader/>
          <w:jc w:val="center"/>
        </w:trPr>
        <w:tc>
          <w:tcPr>
            <w:tcW w:w="91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76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具体内容</w:t>
            </w:r>
          </w:p>
        </w:tc>
      </w:tr>
      <w:tr>
        <w:trPr>
          <w:trHeight w:val="0" w:hRule="atLeast"/>
          <w:jc w:val="center"/>
        </w:trPr>
        <w:tc>
          <w:tcPr>
            <w:tcW w:w="91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8769" w:type="dxa"/>
            <w:shd w:val="clear" w:color="auto" w:fill="auto"/>
          </w:tcPr>
          <w:p>
            <w:pPr>
              <w:keepNext w:val="0"/>
              <w:keepLines w:val="0"/>
              <w:widowControl/>
              <w:suppressLineNumbers w:val="0"/>
              <w:shd w:val="clear"/>
              <w:spacing w:before="0" w:beforeAutospacing="0" w:after="0" w:afterAutospacing="0"/>
              <w:ind w:left="0" w:right="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发包人在场地西侧提供一个管径 DN150 的水管接口。</w:t>
            </w:r>
          </w:p>
        </w:tc>
      </w:tr>
      <w:tr>
        <w:trPr>
          <w:trHeight w:val="0" w:hRule="atLeast"/>
          <w:jc w:val="center"/>
        </w:trPr>
        <w:tc>
          <w:tcPr>
            <w:tcW w:w="91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8769"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rPr>
                <w:rFonts w:hint="eastAsia"/>
                <w:sz w:val="21"/>
                <w:szCs w:val="21"/>
                <w:lang w:eastAsia="zh-CN"/>
              </w:rPr>
            </w:pPr>
            <w:r>
              <w:rPr>
                <w:rFonts w:hint="eastAsia" w:ascii="宋体" w:hAnsi="宋体" w:eastAsia="宋体" w:cs="宋体"/>
                <w:sz w:val="21"/>
                <w:szCs w:val="21"/>
              </w:rPr>
              <w:t>现场临时用水主要由现场临时消防、施工生产用水、现场施工机械用水、现场生活区用水四部分组成。临时用水由</w:t>
            </w:r>
            <w:r>
              <w:rPr>
                <w:rFonts w:hint="eastAsia" w:ascii="宋体" w:hAnsi="宋体" w:eastAsia="宋体" w:cs="宋体"/>
                <w:sz w:val="21"/>
                <w:szCs w:val="21"/>
                <w:lang w:eastAsia="zh-CN"/>
              </w:rPr>
              <w:t>发包人</w:t>
            </w:r>
            <w:r>
              <w:rPr>
                <w:rFonts w:hint="eastAsia" w:ascii="宋体" w:hAnsi="宋体" w:eastAsia="宋体" w:cs="宋体"/>
                <w:sz w:val="21"/>
                <w:szCs w:val="21"/>
              </w:rPr>
              <w:t>提供的水源接驳点</w:t>
            </w:r>
            <w:r>
              <w:rPr>
                <w:sz w:val="21"/>
                <w:szCs w:val="21"/>
              </w:rPr>
              <w:t>设水表</w:t>
            </w:r>
            <w:r>
              <w:rPr>
                <w:rFonts w:hint="eastAsia" w:ascii="宋体" w:hAnsi="宋体" w:eastAsia="宋体" w:cs="宋体"/>
                <w:sz w:val="21"/>
                <w:szCs w:val="21"/>
              </w:rPr>
              <w:t>引至施工场地内，</w:t>
            </w:r>
            <w:r>
              <w:rPr>
                <w:rFonts w:hint="eastAsia" w:ascii="宋体" w:hAnsi="宋体" w:eastAsia="宋体" w:cs="宋体"/>
                <w:sz w:val="21"/>
                <w:szCs w:val="21"/>
                <w:lang w:eastAsia="zh-CN"/>
              </w:rPr>
              <w:t>在场地内设置水泵房，</w:t>
            </w:r>
            <w:r>
              <w:rPr>
                <w:rFonts w:hint="eastAsia" w:ascii="宋体" w:hAnsi="宋体" w:eastAsia="宋体" w:cs="宋体"/>
                <w:sz w:val="21"/>
                <w:szCs w:val="21"/>
              </w:rPr>
              <w:t>再根据施工总平面布置要求将水管敷设至各施工用水点</w:t>
            </w:r>
            <w:r>
              <w:rPr>
                <w:rFonts w:hint="eastAsia" w:ascii="宋体" w:hAnsi="宋体" w:eastAsia="宋体" w:cs="宋体"/>
                <w:sz w:val="21"/>
                <w:szCs w:val="21"/>
                <w:lang w:eastAsia="zh-CN"/>
              </w:rPr>
              <w:t>。</w:t>
            </w:r>
            <w:r>
              <w:rPr>
                <w:rFonts w:hint="eastAsia"/>
                <w:sz w:val="21"/>
                <w:szCs w:val="21"/>
              </w:rPr>
              <w:t>场地内分</w:t>
            </w:r>
            <w:r>
              <w:rPr>
                <w:sz w:val="21"/>
                <w:szCs w:val="21"/>
              </w:rPr>
              <w:t>3</w:t>
            </w:r>
            <w:r>
              <w:rPr>
                <w:rFonts w:hint="eastAsia"/>
                <w:sz w:val="21"/>
                <w:szCs w:val="21"/>
              </w:rPr>
              <w:t>路，</w:t>
            </w:r>
            <w:r>
              <w:rPr>
                <w:sz w:val="21"/>
                <w:szCs w:val="21"/>
              </w:rPr>
              <w:t>1</w:t>
            </w:r>
            <w:r>
              <w:rPr>
                <w:rFonts w:hint="eastAsia"/>
                <w:sz w:val="21"/>
                <w:szCs w:val="21"/>
              </w:rPr>
              <w:t>路</w:t>
            </w:r>
            <w:r>
              <w:rPr>
                <w:sz w:val="21"/>
                <w:szCs w:val="21"/>
              </w:rPr>
              <w:t>DN25</w:t>
            </w:r>
            <w:r>
              <w:rPr>
                <w:rFonts w:hint="eastAsia"/>
                <w:sz w:val="21"/>
                <w:szCs w:val="21"/>
              </w:rPr>
              <w:t>供办公用水，</w:t>
            </w:r>
            <w:r>
              <w:rPr>
                <w:sz w:val="21"/>
                <w:szCs w:val="21"/>
              </w:rPr>
              <w:t>1</w:t>
            </w:r>
            <w:r>
              <w:rPr>
                <w:rFonts w:hint="eastAsia"/>
                <w:sz w:val="21"/>
                <w:szCs w:val="21"/>
              </w:rPr>
              <w:t>路</w:t>
            </w:r>
            <w:r>
              <w:rPr>
                <w:sz w:val="21"/>
                <w:szCs w:val="21"/>
              </w:rPr>
              <w:t>DN40</w:t>
            </w:r>
            <w:r>
              <w:rPr>
                <w:rFonts w:hint="eastAsia"/>
                <w:sz w:val="21"/>
                <w:szCs w:val="21"/>
              </w:rPr>
              <w:t>供生活区用水，</w:t>
            </w:r>
            <w:r>
              <w:rPr>
                <w:sz w:val="21"/>
                <w:szCs w:val="21"/>
              </w:rPr>
              <w:t>1</w:t>
            </w:r>
            <w:r>
              <w:rPr>
                <w:rFonts w:hint="eastAsia"/>
                <w:sz w:val="21"/>
                <w:szCs w:val="21"/>
              </w:rPr>
              <w:t>路</w:t>
            </w:r>
            <w:r>
              <w:rPr>
                <w:sz w:val="21"/>
                <w:szCs w:val="21"/>
              </w:rPr>
              <w:t>DN50</w:t>
            </w:r>
            <w:r>
              <w:rPr>
                <w:rFonts w:hint="eastAsia"/>
                <w:sz w:val="21"/>
                <w:szCs w:val="21"/>
              </w:rPr>
              <w:t>供现场施工用水及消防用水</w:t>
            </w:r>
            <w:r>
              <w:rPr>
                <w:rFonts w:hint="eastAsia"/>
                <w:sz w:val="21"/>
                <w:szCs w:val="21"/>
                <w:lang w:eastAsia="zh-CN"/>
              </w:rPr>
              <w:t>。</w:t>
            </w:r>
          </w:p>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sz w:val="21"/>
                <w:szCs w:val="21"/>
                <w:lang w:eastAsia="zh-CN"/>
              </w:rPr>
            </w:pPr>
            <w:r>
              <w:rPr>
                <w:sz w:val="21"/>
                <w:szCs w:val="21"/>
              </w:rPr>
              <w:drawing>
                <wp:inline distT="0" distB="0" distL="114300" distR="114300">
                  <wp:extent cx="2496820" cy="2103755"/>
                  <wp:effectExtent l="0" t="0" r="17780" b="10795"/>
                  <wp:docPr id="76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图片 17"/>
                          <pic:cNvPicPr>
                            <a:picLocks noChangeAspect="1"/>
                          </pic:cNvPicPr>
                        </pic:nvPicPr>
                        <pic:blipFill>
                          <a:blip r:embed="rId70"/>
                          <a:stretch>
                            <a:fillRect/>
                          </a:stretch>
                        </pic:blipFill>
                        <pic:spPr>
                          <a:xfrm>
                            <a:off x="0" y="0"/>
                            <a:ext cx="2496820" cy="2103755"/>
                          </a:xfrm>
                          <a:prstGeom prst="rect">
                            <a:avLst/>
                          </a:prstGeom>
                          <a:noFill/>
                          <a:ln>
                            <a:noFill/>
                          </a:ln>
                        </pic:spPr>
                      </pic:pic>
                    </a:graphicData>
                  </a:graphic>
                </wp:inline>
              </w:drawing>
            </w:r>
            <w:r>
              <w:rPr>
                <w:sz w:val="21"/>
                <w:szCs w:val="21"/>
              </w:rPr>
              <w:drawing>
                <wp:inline distT="0" distB="0" distL="114300" distR="114300">
                  <wp:extent cx="2822575" cy="2104390"/>
                  <wp:effectExtent l="0" t="0" r="15875" b="10160"/>
                  <wp:docPr id="76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图片 18"/>
                          <pic:cNvPicPr>
                            <a:picLocks noChangeAspect="1"/>
                          </pic:cNvPicPr>
                        </pic:nvPicPr>
                        <pic:blipFill>
                          <a:blip r:embed="rId71"/>
                          <a:stretch>
                            <a:fillRect/>
                          </a:stretch>
                        </pic:blipFill>
                        <pic:spPr>
                          <a:xfrm>
                            <a:off x="0" y="0"/>
                            <a:ext cx="2822575" cy="2104390"/>
                          </a:xfrm>
                          <a:prstGeom prst="rect">
                            <a:avLst/>
                          </a:prstGeom>
                          <a:noFill/>
                          <a:ln>
                            <a:noFill/>
                          </a:ln>
                        </pic:spPr>
                      </pic:pic>
                    </a:graphicData>
                  </a:graphic>
                </wp:inline>
              </w:drawing>
            </w:r>
          </w:p>
        </w:tc>
      </w:tr>
      <w:tr>
        <w:trPr>
          <w:trHeight w:val="0" w:hRule="atLeast"/>
          <w:jc w:val="center"/>
        </w:trPr>
        <w:tc>
          <w:tcPr>
            <w:tcW w:w="910"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8769" w:type="dxa"/>
            <w:shd w:val="clear" w:color="auto" w:fill="auto"/>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现场施工及消防用水管道按照市安全文明工地的要求，外网环形布置，在环管上每 50 米布置一个取水点。根据《建设工程施工现场消防安全技术规范》 室外消火栓的最大保护半径不应大于150m，消火栓间距不大于120m。室内消火栓接口间距不大于50m。</w:t>
            </w:r>
          </w:p>
        </w:tc>
      </w:tr>
    </w:tbl>
    <w:p>
      <w:pPr>
        <w:pStyle w:val="7"/>
        <w:shd w:val="clear"/>
        <w:bidi w:val="0"/>
        <w:ind w:firstLine="480" w:firstLineChars="200"/>
        <w:rPr>
          <w:rFonts w:hint="eastAsia"/>
        </w:rPr>
      </w:pPr>
      <w:r>
        <w:rPr>
          <w:rFonts w:hint="eastAsia"/>
          <w:lang w:val="en-US" w:eastAsia="zh-CN"/>
        </w:rPr>
        <w:t>2、</w:t>
      </w:r>
      <w:r>
        <w:rPr>
          <w:rFonts w:hint="eastAsia"/>
        </w:rPr>
        <w:t xml:space="preserve">消防平面布置 </w:t>
      </w:r>
    </w:p>
    <w:tbl>
      <w:tblPr>
        <w:tblStyle w:val="54"/>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86"/>
        <w:gridCol w:w="8793"/>
      </w:tblGrid>
      <w:tr>
        <w:trPr>
          <w:trHeight w:val="0" w:hRule="atLeast"/>
          <w:tblHeader/>
          <w:jc w:val="center"/>
        </w:trPr>
        <w:tc>
          <w:tcPr>
            <w:tcW w:w="886" w:type="dxa"/>
            <w:shd w:val="clear" w:color="auto" w:fill="auto"/>
            <w:vAlign w:val="center"/>
          </w:tcPr>
          <w:p>
            <w:pPr>
              <w:pStyle w:val="270"/>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793" w:type="dxa"/>
            <w:shd w:val="clear" w:color="auto" w:fill="auto"/>
            <w:vAlign w:val="center"/>
          </w:tcPr>
          <w:p>
            <w:pPr>
              <w:pStyle w:val="270"/>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具体内容</w:t>
            </w:r>
          </w:p>
        </w:tc>
      </w:tr>
      <w:tr>
        <w:trPr>
          <w:trHeight w:val="0" w:hRule="atLeast"/>
          <w:jc w:val="center"/>
        </w:trPr>
        <w:tc>
          <w:tcPr>
            <w:tcW w:w="886" w:type="dxa"/>
            <w:shd w:val="clear" w:color="auto" w:fill="auto"/>
            <w:vAlign w:val="center"/>
          </w:tcPr>
          <w:p>
            <w:pPr>
              <w:pStyle w:val="270"/>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793" w:type="dxa"/>
            <w:shd w:val="clear" w:color="auto" w:fill="auto"/>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left"/>
              <w:textAlignment w:val="auto"/>
              <w:rPr>
                <w:rFonts w:hint="eastAsia" w:ascii="宋体" w:hAnsi="宋体" w:eastAsia="宋体" w:cs="宋体"/>
                <w:sz w:val="21"/>
                <w:szCs w:val="21"/>
              </w:rPr>
            </w:pPr>
            <w:r>
              <w:rPr>
                <w:rFonts w:hint="eastAsia" w:ascii="宋体" w:hAnsi="宋体" w:eastAsia="宋体" w:cs="宋体"/>
                <w:sz w:val="21"/>
                <w:szCs w:val="21"/>
                <w:lang w:val="en-US"/>
              </w:rPr>
              <w:t>施工阶段沿建筑周边埋设消防管道（消防兼给水），管径 DN100，沿消防管网布设临时消火栓，间距约100m左右。室内消防管道由室外管网引入，室内消防管道立管管径 DN100，室内消火栓相邻间距不大于 50m，楼内生产用水和消防用水通过水泵加压供给。在现场砌一临时消防水池，用来补充市政供水的不足的缺口。</w:t>
            </w:r>
          </w:p>
        </w:tc>
      </w:tr>
      <w:tr>
        <w:trPr>
          <w:trHeight w:val="0" w:hRule="atLeast"/>
          <w:jc w:val="center"/>
        </w:trPr>
        <w:tc>
          <w:tcPr>
            <w:tcW w:w="886" w:type="dxa"/>
            <w:shd w:val="clear" w:color="auto" w:fill="auto"/>
            <w:vAlign w:val="center"/>
          </w:tcPr>
          <w:p>
            <w:pPr>
              <w:pStyle w:val="270"/>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793" w:type="dxa"/>
            <w:shd w:val="clear" w:color="auto" w:fill="auto"/>
          </w:tcPr>
          <w:p>
            <w:pPr>
              <w:pStyle w:val="270"/>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left"/>
              <w:textAlignment w:val="auto"/>
              <w:rPr>
                <w:rFonts w:hint="eastAsia" w:eastAsia="宋体"/>
                <w:sz w:val="21"/>
                <w:szCs w:val="21"/>
                <w:lang w:eastAsia="zh-CN"/>
              </w:rPr>
            </w:pPr>
            <w:r>
              <w:rPr>
                <w:rFonts w:hint="eastAsia" w:ascii="宋体" w:hAnsi="宋体" w:eastAsia="宋体" w:cs="宋体"/>
                <w:sz w:val="21"/>
                <w:szCs w:val="21"/>
              </w:rPr>
              <w:t>施工场地内施工道路兼</w:t>
            </w:r>
            <w:r>
              <w:rPr>
                <w:rFonts w:hint="eastAsia" w:cs="宋体"/>
                <w:sz w:val="21"/>
                <w:szCs w:val="21"/>
                <w:lang w:eastAsia="zh-CN"/>
              </w:rPr>
              <w:t>作</w:t>
            </w:r>
            <w:r>
              <w:rPr>
                <w:rFonts w:hint="eastAsia" w:ascii="宋体" w:hAnsi="宋体" w:eastAsia="宋体" w:cs="宋体"/>
                <w:sz w:val="21"/>
                <w:szCs w:val="21"/>
              </w:rPr>
              <w:t>消防车道，道路右侧设立消防车行进路线指示标示，车道上严禁堆放物料，保持道路畅通。利用工程内部已施工完毕的楼梯，通道作为临时输送通道，疏散通道处设立明显的</w:t>
            </w:r>
            <w:r>
              <w:rPr>
                <w:rFonts w:hint="eastAsia" w:cs="宋体"/>
                <w:sz w:val="21"/>
                <w:szCs w:val="21"/>
                <w:lang w:eastAsia="zh-CN"/>
              </w:rPr>
              <w:t>疏散指示标志</w:t>
            </w:r>
            <w:r>
              <w:rPr>
                <w:rFonts w:hint="eastAsia" w:ascii="宋体" w:hAnsi="宋体" w:eastAsia="宋体" w:cs="宋体"/>
                <w:sz w:val="21"/>
                <w:szCs w:val="21"/>
              </w:rPr>
              <w:t>和照明设施</w:t>
            </w:r>
            <w:r>
              <w:rPr>
                <w:rFonts w:hint="eastAsia" w:ascii="宋体" w:hAnsi="宋体" w:eastAsia="宋体" w:cs="宋体"/>
                <w:sz w:val="21"/>
                <w:szCs w:val="21"/>
                <w:lang w:eastAsia="zh-CN"/>
              </w:rPr>
              <w:t>。</w:t>
            </w:r>
          </w:p>
        </w:tc>
      </w:tr>
    </w:tbl>
    <w:p>
      <w:pPr>
        <w:pStyle w:val="4"/>
        <w:shd w:val="clear"/>
        <w:spacing w:before="156" w:after="156"/>
      </w:pPr>
      <w:bookmarkStart w:id="53" w:name="_Toc16512853"/>
      <w:bookmarkStart w:id="54" w:name="_Toc16513542"/>
      <w:bookmarkStart w:id="55" w:name="_Toc32476"/>
      <w:bookmarkStart w:id="56" w:name="_Toc12249"/>
      <w:bookmarkStart w:id="57" w:name="_Toc16513432"/>
      <w:bookmarkStart w:id="58" w:name="_Toc29161"/>
      <w:r>
        <w:rPr>
          <w:rFonts w:hint="eastAsia"/>
        </w:rPr>
        <w:t>第</w:t>
      </w:r>
      <w:r>
        <w:rPr>
          <w:rFonts w:hint="eastAsia"/>
          <w:lang w:val="en-US" w:eastAsia="zh-CN"/>
        </w:rPr>
        <w:t>九</w:t>
      </w:r>
      <w:r>
        <w:rPr>
          <w:rFonts w:hint="eastAsia"/>
        </w:rPr>
        <w:t>节  现场排水方案</w:t>
      </w:r>
      <w:bookmarkEnd w:id="53"/>
      <w:bookmarkEnd w:id="54"/>
      <w:bookmarkEnd w:id="55"/>
      <w:bookmarkEnd w:id="56"/>
      <w:bookmarkEnd w:id="57"/>
      <w:bookmarkEnd w:id="58"/>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由于本工程</w:t>
      </w:r>
      <w:r>
        <w:rPr>
          <w:rFonts w:hint="eastAsia" w:ascii="宋体" w:hAnsi="宋体" w:cs="宋体"/>
          <w:color w:val="000000" w:themeColor="text1"/>
          <w:lang w:eastAsia="zh-CN"/>
          <w14:textFill>
            <w14:solidFill>
              <w14:schemeClr w14:val="tx1"/>
            </w14:solidFill>
          </w14:textFill>
        </w:rPr>
        <w:t>占地面积</w:t>
      </w:r>
      <w:r>
        <w:rPr>
          <w:rFonts w:hint="eastAsia" w:ascii="宋体" w:hAnsi="宋体" w:cs="宋体"/>
          <w:color w:val="000000" w:themeColor="text1"/>
          <w14:textFill>
            <w14:solidFill>
              <w14:schemeClr w14:val="tx1"/>
            </w14:solidFill>
          </w14:textFill>
        </w:rPr>
        <w:t>较大，为确保环保及文明施工，加工制作区、施工道路及材料堆场等处均为砼硬地坪，因此，施工期间要切实做好场地排水工作，做到施工现场无积水，确保大雨期间排水畅通。为此，采取强制排水和自流排水相结合的方式，制定排水方案。</w:t>
      </w:r>
    </w:p>
    <w:p>
      <w:pPr>
        <w:pStyle w:val="5"/>
        <w:numPr>
          <w:ilvl w:val="0"/>
          <w:numId w:val="0"/>
        </w:numPr>
        <w:shd w:val="clear"/>
        <w:bidi w:val="0"/>
        <w:ind w:left="0" w:leftChars="0" w:firstLine="480" w:firstLineChars="0"/>
      </w:pPr>
      <w:r>
        <w:rPr>
          <w:rFonts w:hint="eastAsia" w:ascii="Times New Roman" w:hAnsi="Times New Roman" w:eastAsia="宋体" w:cs="Times New Roman"/>
          <w:b/>
          <w:bCs/>
          <w:kern w:val="2"/>
          <w:sz w:val="24"/>
          <w:szCs w:val="32"/>
          <w:lang w:val="en-US" w:eastAsia="zh-CN" w:bidi="ar-SA"/>
        </w:rPr>
        <w:t>一、</w:t>
      </w:r>
      <w:r>
        <w:rPr>
          <w:rFonts w:hint="eastAsia"/>
        </w:rPr>
        <w:t>自然排水系统</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w:t>
      </w:r>
      <w:r>
        <w:rPr>
          <w:rFonts w:hint="eastAsia" w:ascii="宋体" w:hAnsi="宋体" w:cs="宋体"/>
          <w:color w:val="000000" w:themeColor="text1"/>
          <w14:textFill>
            <w14:solidFill>
              <w14:schemeClr w14:val="tx1"/>
            </w14:solidFill>
          </w14:textFill>
        </w:rPr>
        <w:t>、道路、堆场排水：施工现场道路、堆场采用砼硬地坪，根据现场排水沟位置，道路、堆场向排水沟方向设置1%的坡度，使雨水、施工排水能自然流向排水沟。</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2</w:t>
      </w:r>
      <w:r>
        <w:rPr>
          <w:rFonts w:hint="eastAsia" w:ascii="宋体" w:hAnsi="宋体" w:cs="宋体"/>
          <w:color w:val="000000" w:themeColor="text1"/>
          <w14:textFill>
            <w14:solidFill>
              <w14:schemeClr w14:val="tx1"/>
            </w14:solidFill>
          </w14:textFill>
        </w:rPr>
        <w:t>、排水沟：施工现场沿施工道路设置200×200～400砖砌排水沟，排水沟向出水方向设置1%的坡度，排水沟上面满铺铸铁格栅盖板。</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3</w:t>
      </w:r>
      <w:r>
        <w:rPr>
          <w:rFonts w:hint="eastAsia" w:ascii="宋体" w:hAnsi="宋体" w:cs="宋体"/>
          <w:color w:val="000000" w:themeColor="text1"/>
          <w14:textFill>
            <w14:solidFill>
              <w14:schemeClr w14:val="tx1"/>
            </w14:solidFill>
          </w14:textFill>
        </w:rPr>
        <w:t>、窨井：根据现场排水沟布置情况，排水沟排水途径长，现场须设置一定数量的窨井，窨井采用砖砌窨井，上盖格栅砼盖板，现场设置600×600，深度1000窨井，雨水、施工排水经沉淀池后用潜水泵排入附近市政管网，沉淀池为2000×6000，深度1000砖砌，上盖砼板。</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4</w:t>
      </w:r>
      <w:r>
        <w:rPr>
          <w:rFonts w:hint="eastAsia" w:ascii="宋体" w:hAnsi="宋体" w:cs="宋体"/>
          <w:color w:val="000000" w:themeColor="text1"/>
          <w14:textFill>
            <w14:solidFill>
              <w14:schemeClr w14:val="tx1"/>
            </w14:solidFill>
          </w14:textFill>
        </w:rPr>
        <w:t>、污水池：在厕所附近设置</w:t>
      </w:r>
      <w:r>
        <w:rPr>
          <w:rFonts w:hint="eastAsia" w:ascii="宋体" w:hAnsi="宋体" w:cs="宋体"/>
          <w:color w:val="000000" w:themeColor="text1"/>
          <w:lang w:eastAsia="zh-CN"/>
          <w14:textFill>
            <w14:solidFill>
              <w14:schemeClr w14:val="tx1"/>
            </w14:solidFill>
          </w14:textFill>
        </w:rPr>
        <w:t>一处</w:t>
      </w:r>
      <w:r>
        <w:rPr>
          <w:rFonts w:hint="eastAsia" w:ascii="宋体" w:hAnsi="宋体" w:cs="宋体"/>
          <w:color w:val="000000" w:themeColor="text1"/>
          <w14:textFill>
            <w14:solidFill>
              <w14:schemeClr w14:val="tx1"/>
            </w14:solidFill>
          </w14:textFill>
        </w:rPr>
        <w:t>砖砌不覆土化粪池，污水统一排入化粪池。</w:t>
      </w:r>
    </w:p>
    <w:p>
      <w:pPr>
        <w:pStyle w:val="5"/>
        <w:numPr>
          <w:ilvl w:val="0"/>
          <w:numId w:val="0"/>
        </w:numPr>
        <w:shd w:val="clear"/>
        <w:bidi w:val="0"/>
        <w:ind w:left="0" w:leftChars="0" w:firstLine="480" w:firstLineChars="0"/>
      </w:pPr>
      <w:r>
        <w:rPr>
          <w:rFonts w:hint="eastAsia" w:ascii="Times New Roman" w:hAnsi="Times New Roman" w:eastAsia="宋体" w:cs="Times New Roman"/>
          <w:b/>
          <w:bCs/>
          <w:kern w:val="2"/>
          <w:sz w:val="24"/>
          <w:szCs w:val="32"/>
          <w:lang w:val="en-US" w:eastAsia="zh-CN" w:bidi="ar-SA"/>
        </w:rPr>
        <w:t>二、</w:t>
      </w:r>
      <w:r>
        <w:rPr>
          <w:rFonts w:hint="eastAsia"/>
        </w:rPr>
        <w:t>强制排水系统</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1、施工现场强制排水：施工现场强制排水主要指大雨期间排水，当自然排水不能满足排水要求时采用强制排水，强制排水期间在各集水井或窨井处布置水泵，由水泵抽水直接排出。</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2、生活污水强制排水：当化粪池污水满后，请环卫处污水车排净化粪池内的污水。</w:t>
      </w:r>
    </w:p>
    <w:p>
      <w:pPr>
        <w:widowControl/>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r>
        <w:rPr>
          <w:rFonts w:hint="eastAsia" w:ascii="宋体" w:hAnsi="宋体" w:cs="宋体"/>
          <w:color w:val="000000" w:themeColor="text1"/>
          <w:lang w:eastAsia="zh-CN"/>
          <w14:textFill>
            <w14:solidFill>
              <w14:schemeClr w14:val="tx1"/>
            </w14:solidFill>
          </w14:textFill>
        </w:rPr>
        <w:t>基础施工期间排水</w:t>
      </w: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eastAsia="zh-CN"/>
          <w14:textFill>
            <w14:solidFill>
              <w14:schemeClr w14:val="tx1"/>
            </w14:solidFill>
          </w14:textFill>
        </w:rPr>
        <w:t>基础承台</w:t>
      </w:r>
      <w:r>
        <w:rPr>
          <w:rFonts w:hint="eastAsia" w:ascii="宋体" w:hAnsi="宋体" w:cs="宋体"/>
          <w:color w:val="000000" w:themeColor="text1"/>
          <w14:textFill>
            <w14:solidFill>
              <w14:schemeClr w14:val="tx1"/>
            </w14:solidFill>
          </w14:textFill>
        </w:rPr>
        <w:t>内强制排水由潜水泵直接抽排明沟集水井至地面排水系统，由地面排水系统排出。</w:t>
      </w:r>
    </w:p>
    <w:p>
      <w:pPr>
        <w:pStyle w:val="5"/>
        <w:numPr>
          <w:ilvl w:val="0"/>
          <w:numId w:val="0"/>
        </w:numPr>
        <w:shd w:val="clear"/>
        <w:bidi w:val="0"/>
        <w:ind w:left="0" w:leftChars="0" w:firstLine="480" w:firstLineChars="0"/>
      </w:pPr>
      <w:r>
        <w:rPr>
          <w:rFonts w:hint="eastAsia" w:ascii="Times New Roman" w:hAnsi="Times New Roman" w:eastAsia="宋体" w:cs="Times New Roman"/>
          <w:b/>
          <w:bCs/>
          <w:kern w:val="2"/>
          <w:sz w:val="24"/>
          <w:szCs w:val="32"/>
          <w:lang w:val="en-US" w:eastAsia="zh-CN" w:bidi="ar-SA"/>
        </w:rPr>
        <w:t>三、</w:t>
      </w:r>
      <w:r>
        <w:rPr>
          <w:rFonts w:hint="eastAsia"/>
        </w:rPr>
        <w:t>排水系统管理</w:t>
      </w:r>
    </w:p>
    <w:p>
      <w:pPr>
        <w:widowControl/>
        <w:shd w:val="clear"/>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现场排水系统由施工员专人负责管理，应经常检查排水系统，一旦发现排水系统有损坏情况，应立即派专人负责修补。另外应经常检查排水沟、窨井等</w:t>
      </w:r>
      <w:r>
        <w:rPr>
          <w:rFonts w:hint="eastAsia" w:ascii="宋体" w:hAnsi="宋体" w:cs="宋体"/>
          <w:color w:val="000000" w:themeColor="text1"/>
          <w:lang w:eastAsia="zh-CN"/>
          <w14:textFill>
            <w14:solidFill>
              <w14:schemeClr w14:val="tx1"/>
            </w14:solidFill>
          </w14:textFill>
        </w:rPr>
        <w:t>泥沙</w:t>
      </w:r>
      <w:r>
        <w:rPr>
          <w:rFonts w:hint="eastAsia" w:ascii="宋体" w:hAnsi="宋体" w:cs="宋体"/>
          <w:color w:val="000000" w:themeColor="text1"/>
          <w14:textFill>
            <w14:solidFill>
              <w14:schemeClr w14:val="tx1"/>
            </w14:solidFill>
          </w14:textFill>
        </w:rPr>
        <w:t>沉淀情况，当</w:t>
      </w:r>
      <w:r>
        <w:rPr>
          <w:rFonts w:hint="eastAsia" w:ascii="宋体" w:hAnsi="宋体" w:cs="宋体"/>
          <w:color w:val="000000" w:themeColor="text1"/>
          <w:lang w:eastAsia="zh-CN"/>
          <w14:textFill>
            <w14:solidFill>
              <w14:schemeClr w14:val="tx1"/>
            </w14:solidFill>
          </w14:textFill>
        </w:rPr>
        <w:t>泥沙</w:t>
      </w:r>
      <w:r>
        <w:rPr>
          <w:rFonts w:hint="eastAsia" w:ascii="宋体" w:hAnsi="宋体" w:cs="宋体"/>
          <w:color w:val="000000" w:themeColor="text1"/>
          <w14:textFill>
            <w14:solidFill>
              <w14:schemeClr w14:val="tx1"/>
            </w14:solidFill>
          </w14:textFill>
        </w:rPr>
        <w:t>沉淀较多时，应派专人负责清理。强制排水用水泵在未使用时应统一保管，并检查运转情况，以确保强制排水时正常运转。</w:t>
      </w:r>
    </w:p>
    <w:p>
      <w:pPr>
        <w:pStyle w:val="5"/>
        <w:numPr>
          <w:ilvl w:val="0"/>
          <w:numId w:val="0"/>
        </w:numPr>
        <w:shd w:val="clear"/>
        <w:bidi w:val="0"/>
        <w:ind w:left="0" w:leftChars="0" w:firstLine="480" w:firstLineChars="0"/>
        <w:rPr>
          <w:rFonts w:hint="eastAsia"/>
          <w:lang w:eastAsia="zh-CN"/>
        </w:rPr>
      </w:pPr>
      <w:r>
        <w:rPr>
          <w:rFonts w:hint="eastAsia" w:ascii="Times New Roman" w:hAnsi="Times New Roman" w:eastAsia="宋体" w:cs="Times New Roman"/>
          <w:b/>
          <w:bCs/>
          <w:kern w:val="2"/>
          <w:sz w:val="24"/>
          <w:szCs w:val="32"/>
          <w:lang w:val="en-US" w:eastAsia="zh-CN" w:bidi="ar-SA"/>
        </w:rPr>
        <w:t>四、</w:t>
      </w:r>
      <w:r>
        <w:rPr>
          <w:rFonts w:hint="eastAsia"/>
          <w:lang w:eastAsia="zh-CN"/>
        </w:rPr>
        <w:t>市政排水井及环保检测井策划</w:t>
      </w:r>
    </w:p>
    <w:p>
      <w:pPr>
        <w:shd w:val="clear"/>
        <w:ind w:firstLine="480" w:firstLineChars="200"/>
        <w:rPr>
          <w:rFonts w:hint="default"/>
          <w:color w:val="auto"/>
          <w:lang w:val="en-US" w:eastAsia="zh-CN"/>
        </w:rPr>
      </w:pPr>
      <w:r>
        <w:rPr>
          <w:rFonts w:hint="eastAsia"/>
          <w:color w:val="auto"/>
          <w:lang w:val="en-US" w:eastAsia="zh-CN"/>
        </w:rPr>
        <w:t>本工程场地内排水系统经沉淀后排入指定的污水井，该污水井设计位置在场地西侧，如图所示，该井作为环保部门污水检测井应做好日常清理及疏通工作，保证污水井的畅通，通过该井连接市政污水井，将工地内的污水最终排入市政污水管道系统。</w:t>
      </w:r>
    </w:p>
    <w:p>
      <w:pPr>
        <w:pStyle w:val="3"/>
        <w:shd w:val="clear"/>
        <w:bidi w:val="0"/>
      </w:pPr>
      <w:bookmarkStart w:id="59" w:name="_Toc22970"/>
      <w:r>
        <w:rPr>
          <w:rFonts w:hint="eastAsia"/>
        </w:rPr>
        <w:t>第</w:t>
      </w:r>
      <w:r>
        <w:rPr>
          <w:rFonts w:hint="eastAsia"/>
          <w:lang w:val="en-US" w:eastAsia="zh-CN"/>
        </w:rPr>
        <w:t>十</w:t>
      </w:r>
      <w:r>
        <w:rPr>
          <w:rFonts w:hint="eastAsia"/>
        </w:rPr>
        <w:t>章  质量保证措施</w:t>
      </w:r>
      <w:bookmarkEnd w:id="59"/>
    </w:p>
    <w:p>
      <w:pPr>
        <w:pStyle w:val="4"/>
        <w:shd w:val="clear"/>
        <w:bidi w:val="0"/>
      </w:pPr>
      <w:bookmarkStart w:id="60" w:name="_Toc16512860"/>
      <w:bookmarkStart w:id="61" w:name="_Toc16513439"/>
      <w:bookmarkStart w:id="62" w:name="_Toc5974"/>
      <w:bookmarkStart w:id="63" w:name="_Toc23307"/>
      <w:bookmarkStart w:id="64" w:name="_Toc3621"/>
      <w:bookmarkStart w:id="65" w:name="_Toc16513549"/>
      <w:r>
        <w:rPr>
          <w:rFonts w:hint="eastAsia"/>
        </w:rPr>
        <w:t>第一节  质量目标</w:t>
      </w:r>
      <w:bookmarkEnd w:id="60"/>
      <w:bookmarkEnd w:id="61"/>
      <w:bookmarkEnd w:id="62"/>
      <w:bookmarkEnd w:id="63"/>
      <w:bookmarkEnd w:id="64"/>
      <w:bookmarkEnd w:id="65"/>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根据合同文件要求</w:t>
      </w:r>
      <w:r>
        <w:rPr>
          <w:rFonts w:hint="eastAsia" w:ascii="宋体" w:hAnsi="宋体" w:cs="宋体"/>
          <w:color w:val="auto"/>
        </w:rPr>
        <w:t>，确定本工程的质量目标为：按国家施工验收规范一次性验收合格。</w:t>
      </w:r>
    </w:p>
    <w:p>
      <w:pPr>
        <w:pStyle w:val="4"/>
        <w:shd w:val="clear"/>
        <w:bidi w:val="0"/>
      </w:pPr>
      <w:bookmarkStart w:id="66" w:name="_Toc16513550"/>
      <w:bookmarkStart w:id="67" w:name="_Toc24180"/>
      <w:bookmarkStart w:id="68" w:name="_Toc30913"/>
      <w:bookmarkStart w:id="69" w:name="_Toc24826"/>
      <w:bookmarkStart w:id="70" w:name="_Toc16513440"/>
      <w:bookmarkStart w:id="71" w:name="_Toc16512861"/>
      <w:r>
        <w:rPr>
          <w:rFonts w:hint="eastAsia"/>
        </w:rPr>
        <w:t>第二节  质量管理体系</w:t>
      </w:r>
      <w:bookmarkEnd w:id="66"/>
      <w:bookmarkEnd w:id="67"/>
      <w:bookmarkEnd w:id="68"/>
      <w:bookmarkEnd w:id="69"/>
      <w:bookmarkEnd w:id="70"/>
      <w:bookmarkEnd w:id="71"/>
    </w:p>
    <w:p>
      <w:pPr>
        <w:shd w:val="clear"/>
        <w:spacing w:line="360" w:lineRule="auto"/>
        <w:ind w:firstLine="480" w:firstLineChars="200"/>
        <w:outlineLvl w:val="2"/>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一、机构组成</w:t>
      </w:r>
    </w:p>
    <w:p>
      <w:pPr>
        <w:shd w:val="clear"/>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按照我公司QES管理体系有效、平稳运行的要求，结合该工程的具体情况，公司对该工程质量实施三级质量管理体系。由公司主管技术、质量的总工程师及质量管理职能部门组成本工程质量管理体系的公司级（第三级）质量管理机构，并按QES管理体系《管理手册》和《程序文件》规定的职责、管理程序，对本工程的工程质量实行宏观管理，对第二级质量管理人员实施监督检查；项目部技术负责人和质量员（第二级）按公司QES管理体系规定的职责，对工程产品质量实行过程控制，并对第一级管理人员实施监督检查；计量员、测量员及操作班组质量员（第一级）根据施工规范、操作工艺要求，对产品形成质量进行控制。</w:t>
      </w:r>
    </w:p>
    <w:p>
      <w:pPr>
        <w:numPr>
          <w:ilvl w:val="0"/>
          <w:numId w:val="15"/>
        </w:numPr>
        <w:shd w:val="clear"/>
        <w:spacing w:line="360" w:lineRule="auto"/>
        <w:ind w:firstLine="480" w:firstLineChars="200"/>
        <w:rPr>
          <w:rFonts w:hint="eastAsia" w:ascii="宋体" w:hAnsi="宋体" w:eastAsia="宋体" w:cs="宋体"/>
          <w:lang w:val="en-US" w:eastAsia="zh-CN"/>
        </w:rPr>
      </w:pPr>
      <w:r>
        <w:rPr>
          <w:rFonts w:hint="eastAsia" w:ascii="宋体" w:hAnsi="宋体" w:eastAsia="宋体" w:cs="宋体"/>
          <w:lang w:val="en-US" w:eastAsia="zh-CN"/>
        </w:rPr>
        <w:t>质量管理体系管理人员名单</w:t>
      </w:r>
    </w:p>
    <w:tbl>
      <w:tblPr>
        <w:tblStyle w:val="54"/>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06"/>
        <w:gridCol w:w="1866"/>
        <w:gridCol w:w="2126"/>
        <w:gridCol w:w="2160"/>
        <w:gridCol w:w="2610"/>
      </w:tblGrid>
      <w:tr>
        <w:trPr>
          <w:trHeight w:val="397" w:hRule="atLeast"/>
          <w:tblHeader/>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b/>
                <w:bCs/>
                <w:sz w:val="21"/>
                <w:szCs w:val="21"/>
              </w:rPr>
            </w:pPr>
            <w:r>
              <w:rPr>
                <w:rFonts w:hint="eastAsia"/>
                <w:b/>
                <w:bCs/>
                <w:sz w:val="21"/>
                <w:szCs w:val="21"/>
              </w:rPr>
              <w:t>职  务</w:t>
            </w:r>
          </w:p>
        </w:tc>
        <w:tc>
          <w:tcPr>
            <w:tcW w:w="212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b/>
                <w:bCs/>
                <w:sz w:val="21"/>
                <w:szCs w:val="21"/>
              </w:rPr>
            </w:pPr>
            <w:r>
              <w:rPr>
                <w:rFonts w:hint="eastAsia"/>
                <w:b/>
                <w:bCs/>
                <w:sz w:val="21"/>
                <w:szCs w:val="21"/>
              </w:rPr>
              <w:t>姓  名</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b/>
                <w:bCs/>
                <w:sz w:val="21"/>
                <w:szCs w:val="21"/>
              </w:rPr>
            </w:pPr>
            <w:r>
              <w:rPr>
                <w:rFonts w:hint="eastAsia"/>
                <w:b/>
                <w:bCs/>
                <w:sz w:val="21"/>
                <w:szCs w:val="21"/>
              </w:rPr>
              <w:t>组 内 职 务</w:t>
            </w:r>
          </w:p>
        </w:tc>
        <w:tc>
          <w:tcPr>
            <w:tcW w:w="261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b/>
                <w:bCs/>
                <w:sz w:val="21"/>
                <w:szCs w:val="21"/>
              </w:rPr>
            </w:pPr>
            <w:r>
              <w:rPr>
                <w:rFonts w:hint="eastAsia"/>
                <w:b/>
                <w:bCs/>
                <w:sz w:val="21"/>
                <w:szCs w:val="21"/>
              </w:rPr>
              <w:t>联 系 电 话</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项目负责人</w:t>
            </w:r>
          </w:p>
        </w:tc>
        <w:tc>
          <w:tcPr>
            <w:tcW w:w="2126" w:type="dxa"/>
            <w:shd w:val="clear" w:color="auto" w:fill="auto"/>
            <w:vAlign w:val="center"/>
          </w:tcPr>
          <w:p>
            <w:pPr>
              <w:pStyle w:val="4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rPr>
              <w:t>方莹</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组 长</w:t>
            </w:r>
          </w:p>
        </w:tc>
        <w:tc>
          <w:tcPr>
            <w:tcW w:w="2610" w:type="dxa"/>
            <w:shd w:val="clear" w:color="auto" w:fill="auto"/>
            <w:vAlign w:val="center"/>
          </w:tcPr>
          <w:p>
            <w:pPr>
              <w:pStyle w:val="49"/>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15067439268</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生产经理</w:t>
            </w:r>
          </w:p>
        </w:tc>
        <w:tc>
          <w:tcPr>
            <w:tcW w:w="2126" w:type="dxa"/>
            <w:shd w:val="clear" w:color="auto" w:fill="auto"/>
            <w:vAlign w:val="center"/>
          </w:tcPr>
          <w:p>
            <w:pPr>
              <w:pStyle w:val="297"/>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lang w:val="en-US" w:eastAsia="zh-CN"/>
              </w:rPr>
              <w:t>李荣强</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副组长</w:t>
            </w:r>
          </w:p>
        </w:tc>
        <w:tc>
          <w:tcPr>
            <w:tcW w:w="2610" w:type="dxa"/>
            <w:shd w:val="clear" w:color="auto" w:fill="auto"/>
            <w:vAlign w:val="center"/>
          </w:tcPr>
          <w:p>
            <w:pPr>
              <w:pStyle w:val="49"/>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auto"/>
              <w:rPr>
                <w:rFonts w:hint="eastAsia" w:ascii="宋体" w:hAnsi="宋体" w:eastAsia="宋体" w:cs="宋体"/>
                <w:b w:val="0"/>
                <w:bCs/>
                <w:i w:val="0"/>
                <w:caps w:val="0"/>
                <w:color w:val="auto"/>
                <w:spacing w:val="8"/>
                <w:kern w:val="2"/>
                <w:sz w:val="24"/>
                <w:szCs w:val="24"/>
                <w:shd w:val="clear" w:fill="FFFFFF"/>
                <w:lang w:val="en-US" w:eastAsia="zh-CN" w:bidi="ar-SA"/>
              </w:rPr>
            </w:pPr>
            <w:r>
              <w:rPr>
                <w:rFonts w:hint="eastAsia" w:ascii="宋体" w:hAnsi="宋体" w:eastAsia="宋体" w:cs="宋体"/>
                <w:sz w:val="24"/>
                <w:szCs w:val="24"/>
                <w:lang w:val="en-US" w:eastAsia="zh-CN"/>
              </w:rPr>
              <w:t>18971123067</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技术负责人</w:t>
            </w:r>
          </w:p>
        </w:tc>
        <w:tc>
          <w:tcPr>
            <w:tcW w:w="2126" w:type="dxa"/>
            <w:shd w:val="clear" w:color="auto" w:fill="auto"/>
            <w:vAlign w:val="center"/>
          </w:tcPr>
          <w:p>
            <w:pPr>
              <w:pStyle w:val="297"/>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rPr>
              <w:t>尹江伟</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副组长</w:t>
            </w:r>
          </w:p>
        </w:tc>
        <w:tc>
          <w:tcPr>
            <w:tcW w:w="2610" w:type="dxa"/>
            <w:shd w:val="clear" w:color="auto" w:fill="auto"/>
            <w:vAlign w:val="center"/>
          </w:tcPr>
          <w:p>
            <w:pPr>
              <w:pStyle w:val="49"/>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18257412469</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施工员</w:t>
            </w:r>
          </w:p>
        </w:tc>
        <w:tc>
          <w:tcPr>
            <w:tcW w:w="2126" w:type="dxa"/>
            <w:shd w:val="clear" w:color="auto" w:fill="auto"/>
            <w:vAlign w:val="center"/>
          </w:tcPr>
          <w:p>
            <w:pPr>
              <w:pStyle w:val="297"/>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textAlignment w:val="auto"/>
              <w:rPr>
                <w:rFonts w:hint="eastAsia" w:ascii="宋体" w:hAnsi="宋体" w:eastAsia="宋体" w:cs="宋体"/>
                <w:b w:val="0"/>
                <w:bCs/>
                <w:i w:val="0"/>
                <w:caps w:val="0"/>
                <w:color w:val="auto"/>
                <w:spacing w:val="8"/>
                <w:kern w:val="2"/>
                <w:sz w:val="24"/>
                <w:szCs w:val="24"/>
                <w:shd w:val="clear" w:fill="FFFFFF"/>
                <w:lang w:val="en-US" w:eastAsia="zh-CN" w:bidi="ar-SA"/>
              </w:rPr>
            </w:pPr>
            <w:r>
              <w:rPr>
                <w:rFonts w:hint="eastAsia" w:ascii="宋体" w:hAnsi="宋体" w:eastAsia="宋体" w:cs="宋体"/>
                <w:sz w:val="24"/>
                <w:szCs w:val="24"/>
              </w:rPr>
              <w:t>王恩待</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组 员</w:t>
            </w:r>
          </w:p>
        </w:tc>
        <w:tc>
          <w:tcPr>
            <w:tcW w:w="2610" w:type="dxa"/>
            <w:shd w:val="clear" w:color="auto" w:fill="auto"/>
            <w:vAlign w:val="center"/>
          </w:tcPr>
          <w:p>
            <w:pPr>
              <w:pStyle w:val="49"/>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15968997252</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质量员</w:t>
            </w:r>
          </w:p>
        </w:tc>
        <w:tc>
          <w:tcPr>
            <w:tcW w:w="2126" w:type="dxa"/>
            <w:shd w:val="clear" w:color="auto" w:fill="auto"/>
            <w:vAlign w:val="center"/>
          </w:tcPr>
          <w:p>
            <w:pPr>
              <w:pStyle w:val="297"/>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textAlignment w:val="auto"/>
              <w:rPr>
                <w:rFonts w:hint="eastAsia" w:ascii="宋体" w:hAnsi="宋体" w:eastAsia="宋体" w:cs="宋体"/>
                <w:b w:val="0"/>
                <w:bCs/>
                <w:i w:val="0"/>
                <w:caps w:val="0"/>
                <w:color w:val="auto"/>
                <w:spacing w:val="8"/>
                <w:kern w:val="2"/>
                <w:sz w:val="24"/>
                <w:szCs w:val="24"/>
                <w:shd w:val="clear" w:fill="FFFFFF"/>
                <w:lang w:val="en-US" w:eastAsia="zh-CN" w:bidi="ar-SA"/>
              </w:rPr>
            </w:pPr>
            <w:r>
              <w:rPr>
                <w:rFonts w:hint="eastAsia" w:ascii="宋体" w:hAnsi="宋体" w:eastAsia="宋体" w:cs="宋体"/>
                <w:sz w:val="24"/>
                <w:szCs w:val="24"/>
              </w:rPr>
              <w:t>陈金柱</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组 员</w:t>
            </w:r>
          </w:p>
        </w:tc>
        <w:tc>
          <w:tcPr>
            <w:tcW w:w="2610" w:type="dxa"/>
            <w:shd w:val="clear" w:color="auto" w:fill="auto"/>
            <w:vAlign w:val="center"/>
          </w:tcPr>
          <w:p>
            <w:pPr>
              <w:pStyle w:val="49"/>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17703769876</w:t>
            </w:r>
          </w:p>
        </w:tc>
      </w:tr>
      <w:tr>
        <w:trPr>
          <w:trHeight w:val="397" w:hRule="atLeast"/>
          <w:jc w:val="center"/>
        </w:trPr>
        <w:tc>
          <w:tcPr>
            <w:tcW w:w="100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866"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材料员</w:t>
            </w:r>
          </w:p>
        </w:tc>
        <w:tc>
          <w:tcPr>
            <w:tcW w:w="2126" w:type="dxa"/>
            <w:shd w:val="clear" w:color="auto" w:fill="auto"/>
            <w:vAlign w:val="center"/>
          </w:tcPr>
          <w:p>
            <w:pPr>
              <w:pStyle w:val="297"/>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firstLine="0" w:firstLineChars="0"/>
              <w:textAlignment w:val="auto"/>
              <w:rPr>
                <w:rFonts w:hint="eastAsia" w:ascii="宋体" w:hAnsi="宋体" w:eastAsia="宋体" w:cs="宋体"/>
                <w:color w:val="auto"/>
                <w:sz w:val="24"/>
                <w:szCs w:val="24"/>
              </w:rPr>
            </w:pPr>
            <w:r>
              <w:rPr>
                <w:rFonts w:hint="eastAsia" w:ascii="宋体" w:hAnsi="宋体" w:eastAsia="宋体" w:cs="宋体"/>
                <w:sz w:val="24"/>
                <w:szCs w:val="24"/>
                <w:lang w:val="en-US" w:eastAsia="zh-CN"/>
              </w:rPr>
              <w:t>王贞波</w:t>
            </w:r>
          </w:p>
        </w:tc>
        <w:tc>
          <w:tcPr>
            <w:tcW w:w="216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组 员</w:t>
            </w:r>
          </w:p>
        </w:tc>
        <w:tc>
          <w:tcPr>
            <w:tcW w:w="2610" w:type="dxa"/>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2" w:leftChars="-1" w:right="0" w:hanging="4" w:hangingChars="2"/>
              <w:jc w:val="center"/>
              <w:textAlignment w:val="auto"/>
              <w:rPr>
                <w:rFonts w:hint="eastAsia" w:ascii="宋体" w:hAnsi="宋体" w:eastAsia="宋体" w:cs="宋体"/>
                <w:color w:val="auto"/>
                <w:sz w:val="24"/>
                <w:szCs w:val="24"/>
              </w:rPr>
            </w:pPr>
            <w:r>
              <w:rPr>
                <w:rFonts w:hint="eastAsia" w:ascii="宋体" w:hAnsi="宋体" w:eastAsia="宋体" w:cs="宋体"/>
                <w:sz w:val="24"/>
                <w:szCs w:val="24"/>
                <w:lang w:val="en-US" w:eastAsia="zh-CN"/>
              </w:rPr>
              <w:t>15967843728</w:t>
            </w:r>
          </w:p>
        </w:tc>
      </w:tr>
    </w:tbl>
    <w:p>
      <w:pPr>
        <w:shd w:val="clear"/>
        <w:spacing w:line="360" w:lineRule="auto"/>
        <w:ind w:firstLine="480" w:firstLineChars="200"/>
        <w:rPr>
          <w:rFonts w:ascii="宋体" w:hAnsi="宋体" w:cs="宋体"/>
        </w:rPr>
      </w:pPr>
      <w:r>
        <w:rPr>
          <w:rFonts w:hint="eastAsia" w:ascii="宋体" w:hAnsi="宋体" w:cs="宋体"/>
          <w:lang w:val="en-US" w:eastAsia="zh-CN"/>
        </w:rPr>
        <w:t>2、</w:t>
      </w:r>
      <w:r>
        <w:rPr>
          <w:rFonts w:hint="eastAsia" w:ascii="宋体" w:hAnsi="宋体" w:cs="宋体"/>
        </w:rPr>
        <w:t>本工程的质量管理体系详见下图，工序质量管理网络详见下图。</w:t>
      </w:r>
    </w:p>
    <w:p>
      <w:pPr>
        <w:pStyle w:val="53"/>
        <w:shd w:val="clear"/>
        <w:ind w:left="480" w:firstLine="340"/>
        <w:rPr>
          <w:spacing w:val="-20"/>
        </w:rPr>
      </w:pPr>
    </w:p>
    <w:p>
      <w:pPr>
        <w:pStyle w:val="53"/>
        <w:shd w:val="clear"/>
        <w:ind w:left="0" w:leftChars="0" w:firstLine="0" w:firstLineChars="0"/>
        <w:jc w:val="center"/>
        <w:rPr>
          <w:rFonts w:ascii="宋体" w:hAnsi="宋体" w:cs="宋体"/>
          <w:color w:val="000000" w:themeColor="text1"/>
          <w:sz w:val="24"/>
          <w14:textFill>
            <w14:solidFill>
              <w14:schemeClr w14:val="tx1"/>
            </w14:solidFill>
          </w14:textFill>
        </w:rPr>
      </w:pPr>
    </w:p>
    <w:p>
      <w:pPr>
        <w:pStyle w:val="53"/>
        <w:keepNext w:val="0"/>
        <w:keepLines w:val="0"/>
        <w:pageBreakBefore w:val="0"/>
        <w:widowControl w:val="0"/>
        <w:shd w:val="clear"/>
        <w:kinsoku/>
        <w:wordWrap/>
        <w:overflowPunct/>
        <w:topLinePunct w:val="0"/>
        <w:autoSpaceDE/>
        <w:autoSpaceDN/>
        <w:bidi w:val="0"/>
        <w:adjustRightInd/>
        <w:snapToGrid/>
        <w:spacing w:after="0"/>
        <w:ind w:left="0" w:leftChars="0" w:firstLine="0" w:firstLineChars="0"/>
        <w:jc w:val="center"/>
        <w:textAlignment w:val="auto"/>
      </w:pPr>
      <w:r>
        <w:drawing>
          <wp:inline distT="0" distB="0" distL="0" distR="0">
            <wp:extent cx="5832475" cy="4207510"/>
            <wp:effectExtent l="0" t="0" r="15875" b="2540"/>
            <wp:docPr id="447" name="image2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206.jpeg"/>
                    <pic:cNvPicPr>
                      <a:picLocks noChangeAspect="1"/>
                    </pic:cNvPicPr>
                  </pic:nvPicPr>
                  <pic:blipFill>
                    <a:blip r:embed="rId72" cstate="print"/>
                    <a:stretch>
                      <a:fillRect/>
                    </a:stretch>
                  </pic:blipFill>
                  <pic:spPr>
                    <a:xfrm>
                      <a:off x="0" y="0"/>
                      <a:ext cx="5832475" cy="4207510"/>
                    </a:xfrm>
                    <a:prstGeom prst="rect">
                      <a:avLst/>
                    </a:prstGeom>
                  </pic:spPr>
                </pic:pic>
              </a:graphicData>
            </a:graphic>
          </wp:inline>
        </w:drawing>
      </w:r>
    </w:p>
    <w:p>
      <w:pPr>
        <w:shd w:val="clear"/>
        <w:spacing w:line="360" w:lineRule="auto"/>
        <w:ind w:firstLine="480" w:firstLineChars="200"/>
        <w:outlineLvl w:val="2"/>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二、职责分工</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1、第一级质量管理体系</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（1）计量员</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1）及时做好现场原材料的试验，及时向第二级质量管理人员汇报试验结果，本工程中原材料等材料试验均应严格按照有关规范进行执行。</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2）按规定及时做好混凝土、砂浆试块、并设立标准养护室，配置空调恒温，进行试块养护，保证试验质量，并及时提供试验数据。</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3）定时检查和校验试验工具，以确保试验结果的正确性。</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4）混凝土浇筑时，试验员应及时到场，检查计量工具的准确与否，严格过秤检查制度，及时认真完成混凝土的施工记录。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5）门窗、防水材料等半成品除具备质保书外也应按照有关规范送检，合格后方能使用。</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6）各种试验资料及时、齐全，并归类装订成册。</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（2）测量员</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1）负责本工程中的测量放样工作。</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2）认真学习图纸，熟悉图纸，牢记关键尺寸及相互关系。</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3）及时完成各道工序的有关放样及混凝土构筑物的测量检查工作，并通知上级质量人员予以复核。</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4）建立统一的测量</w:t>
      </w:r>
      <w:r>
        <w:rPr>
          <w:rFonts w:hint="eastAsia" w:ascii="宋体" w:hAnsi="宋体" w:cs="宋体"/>
          <w:color w:val="000000" w:themeColor="text1"/>
          <w:lang w:eastAsia="zh-CN"/>
          <w14:textFill>
            <w14:solidFill>
              <w14:schemeClr w14:val="tx1"/>
            </w14:solidFill>
          </w14:textFill>
        </w:rPr>
        <w:t>记录簿</w:t>
      </w:r>
      <w:r>
        <w:rPr>
          <w:rFonts w:hint="eastAsia" w:ascii="宋体" w:hAnsi="宋体" w:cs="宋体"/>
          <w:color w:val="000000" w:themeColor="text1"/>
          <w14:textFill>
            <w14:solidFill>
              <w14:schemeClr w14:val="tx1"/>
            </w14:solidFill>
          </w14:textFill>
        </w:rPr>
        <w:t>，认真填写放样复核记录。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5）保护测量仪器及工具。</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（3）专业施工班组质量员</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1）认真学习工程质量检验评定标准和操作规程。</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2）认真做好每道工序的自检，并认真填写自检记录。</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2、第二级质量管理体系</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（1）负责本工程的质量控制，对第一级质量管理工作加以指导、检查、组织、监督各班组、分包单位对每道工序的具体施工工艺进行讨论，定出具体施工工艺，监督他们严格按此工艺及规范进行施工、验收。</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（2）每道工序施工前及时进行技术交底。</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（3）负责收集、整理工程资料。</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1）施工日记；</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2）工序自检单；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3）质量活动记录；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4）及时掌握工程中各工序的质量情况，发现问题及时组织有关人员讨论解决。</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5）某道工序下级管理人员检查合格后及时对其进行验收，发现问题及时整改。</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6）混凝土浇捣令必须填写完整，上报第三级质量管理人员。</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（4）负责原材料的取样和送检。</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（5）每月进行三次质量活动，并做好活动记录。</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（6）及时整理第一级质量管理上报的自检记录，并及时上报第三级质量管理人员。</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3、第三级管理体系</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（1）负责对本工程中的质量验收，与监理联系工作。</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（2）坚持工程放样复核中的第二级复核，并通知监理进行第三级复核。</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（3）每月对已完成的工序进行一次质量检查，并组织一次质量活动。</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（4）参加第二级管理人员的技术交底会议。</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（5）复核第二级管理人员上报工程资料，及时签斑点，上报监理及时验收。</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（6）负责收集工程中的资料：</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1）开竣工报告；</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2）工程图纸变更单和技术联系单；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3）设计交底会议记录。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4）施工组织设计及批复；</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5）原材料质保单及外加工构件的合格证等；</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6）测量放样复核记录；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7）质量事故记录；</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8）检查和督促第二级质量管理人员的工作；</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9）负责签发工程质量整改单和罚款单；</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4、与其他职能部门的协作配合</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（1）材料部门应及时向实验室提供材料质保单产品合格证。</w:t>
      </w:r>
    </w:p>
    <w:p>
      <w:pPr>
        <w:shd w:val="clea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（2）各级质量管理人员发现问题均有权向施工操作人员提出，要求整改。要求拒绝后，可向上级质量管理人员反映情况。</w:t>
      </w:r>
    </w:p>
    <w:p>
      <w:pPr>
        <w:shd w:val="clear"/>
        <w:spacing w:line="360" w:lineRule="auto"/>
        <w:ind w:firstLine="48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（3）各级质量人员在进行验收时，应携带图纸及有关工具。</w:t>
      </w:r>
    </w:p>
    <w:p>
      <w:pPr>
        <w:shd w:val="clear"/>
        <w:spacing w:line="360" w:lineRule="auto"/>
        <w:ind w:firstLine="480" w:firstLineChars="200"/>
      </w:pPr>
      <w:r>
        <w:rPr>
          <w:rFonts w:hint="eastAsia" w:ascii="宋体" w:hAnsi="宋体" w:cs="宋体"/>
          <w:color w:val="000000" w:themeColor="text1"/>
          <w14:textFill>
            <w14:solidFill>
              <w14:schemeClr w14:val="tx1"/>
            </w14:solidFill>
          </w14:textFill>
        </w:rPr>
        <w:t>（4）各级质量管理人员均应尊重监理意见，不准发生冲突，有不同见解应与监理协商解决。</w:t>
      </w:r>
    </w:p>
    <w:p>
      <w:pPr>
        <w:pStyle w:val="4"/>
        <w:shd w:val="clear"/>
        <w:spacing w:before="156" w:after="156"/>
        <w:rPr>
          <w:rFonts w:hint="eastAsia"/>
        </w:rPr>
      </w:pPr>
      <w:bookmarkStart w:id="72" w:name="_Toc16512862"/>
      <w:bookmarkStart w:id="73" w:name="_Toc5841"/>
      <w:bookmarkStart w:id="74" w:name="_Toc16513441"/>
      <w:bookmarkStart w:id="75" w:name="_Toc28796"/>
      <w:bookmarkStart w:id="76" w:name="_Toc14426"/>
      <w:bookmarkStart w:id="77" w:name="_Toc16513551"/>
      <w:r>
        <w:rPr>
          <w:rFonts w:hint="eastAsia"/>
        </w:rPr>
        <w:t>第三节  质量管理制度</w:t>
      </w:r>
      <w:bookmarkEnd w:id="72"/>
      <w:bookmarkEnd w:id="73"/>
      <w:bookmarkEnd w:id="74"/>
      <w:bookmarkEnd w:id="75"/>
      <w:bookmarkEnd w:id="76"/>
      <w:bookmarkEnd w:id="77"/>
    </w:p>
    <w:p>
      <w:pPr>
        <w:pStyle w:val="2"/>
        <w:shd w:val="clear"/>
        <w:bidi w:val="0"/>
      </w:pPr>
      <w:r>
        <w:rPr>
          <w:rFonts w:hint="eastAsia"/>
          <w:b/>
          <w:bCs/>
          <w:lang w:val="en-US"/>
        </w:rPr>
        <w:t>1、</w:t>
      </w:r>
      <w:r>
        <w:rPr>
          <w:b/>
          <w:bCs/>
        </w:rPr>
        <w:t>管理制度</w:t>
      </w:r>
      <w:r>
        <w:t xml:space="preserve"> </w:t>
      </w:r>
    </w:p>
    <w:p>
      <w:pPr>
        <w:pStyle w:val="2"/>
        <w:shd w:val="clear"/>
        <w:tabs>
          <w:tab w:val="left" w:pos="763"/>
        </w:tabs>
        <w:spacing w:line="300" w:lineRule="auto"/>
        <w:ind w:left="0" w:firstLine="480" w:firstLineChars="200"/>
      </w:pPr>
      <w:r>
        <w:t>“没有规矩，不成方圆”，在本工程质量管理中，除了执行企业原有的各项管理制度外，我单位还将结合工程结构特点，</w:t>
      </w:r>
      <w:r>
        <w:rPr>
          <w:rFonts w:hint="eastAsia"/>
          <w:lang w:eastAsia="zh-CN"/>
        </w:rPr>
        <w:t>有针对性地制定</w:t>
      </w:r>
      <w:r>
        <w:t>和实施一些特殊质量管理制度。</w:t>
      </w:r>
    </w:p>
    <w:tbl>
      <w:tblPr>
        <w:tblStyle w:val="54"/>
        <w:tblW w:w="10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1836"/>
        <w:gridCol w:w="7212"/>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序号</w:t>
            </w:r>
          </w:p>
        </w:tc>
        <w:tc>
          <w:tcPr>
            <w:tcW w:w="1836"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制度类型</w:t>
            </w:r>
          </w:p>
        </w:tc>
        <w:tc>
          <w:tcPr>
            <w:tcW w:w="721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内容</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1</w:t>
            </w:r>
          </w:p>
        </w:tc>
        <w:tc>
          <w:tcPr>
            <w:tcW w:w="1836"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坚持“三检”制度</w:t>
            </w:r>
          </w:p>
        </w:tc>
        <w:tc>
          <w:tcPr>
            <w:tcW w:w="7212"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强化质量管理，落实各级责任制，认真执行“三检制”（自检、互检、交接检）。项目质量部对工程质量进行 100%的跟踪检查和管理，每个施工过程都处于受控状态，当上道工序没有达到验收标准时，不得进行下道工序施工。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2</w:t>
            </w:r>
          </w:p>
        </w:tc>
        <w:tc>
          <w:tcPr>
            <w:tcW w:w="1836"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隐蔽验收制度，实行两级QC 制度</w:t>
            </w:r>
          </w:p>
        </w:tc>
        <w:tc>
          <w:tcPr>
            <w:tcW w:w="7212"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both"/>
              <w:textAlignment w:val="auto"/>
              <w:rPr>
                <w:sz w:val="21"/>
                <w:szCs w:val="21"/>
              </w:rPr>
            </w:pPr>
            <w:r>
              <w:rPr>
                <w:spacing w:val="-3"/>
                <w:sz w:val="21"/>
                <w:szCs w:val="21"/>
              </w:rPr>
              <w:t xml:space="preserve">隐蔽工程应在施工班组自检合格的基础上，一级 </w:t>
            </w:r>
            <w:r>
              <w:rPr>
                <w:sz w:val="21"/>
                <w:szCs w:val="21"/>
              </w:rPr>
              <w:t>QC</w:t>
            </w:r>
            <w:r>
              <w:rPr>
                <w:spacing w:val="-3"/>
                <w:sz w:val="21"/>
                <w:szCs w:val="21"/>
              </w:rPr>
              <w:t xml:space="preserve"> 人员进行检查合格后，由项目经理部二级 </w:t>
            </w:r>
            <w:r>
              <w:rPr>
                <w:sz w:val="21"/>
                <w:szCs w:val="21"/>
              </w:rPr>
              <w:t>QC</w:t>
            </w:r>
            <w:r>
              <w:rPr>
                <w:spacing w:val="-3"/>
                <w:sz w:val="21"/>
                <w:szCs w:val="21"/>
              </w:rPr>
              <w:t xml:space="preserve"> 人员进行复查。对不符合</w:t>
            </w:r>
            <w:r>
              <w:rPr>
                <w:spacing w:val="-4"/>
                <w:sz w:val="21"/>
                <w:szCs w:val="21"/>
              </w:rPr>
              <w:t>规范要求、企业标准要求和设计文件要求的，由施工班组限期整改。在项目部有关质量管理人员检查合格的基础上，通知业主主管人员验收，没有通过验收的工程不得进行隐蔽。重要部位、关键部位的隐蔽验收，项目经理部总工程师、技术部主管</w:t>
            </w:r>
            <w:r>
              <w:rPr>
                <w:sz w:val="21"/>
                <w:szCs w:val="21"/>
              </w:rPr>
              <w:t xml:space="preserve">人员、测量主管人员等必须共同参加。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3</w:t>
            </w:r>
          </w:p>
        </w:tc>
        <w:tc>
          <w:tcPr>
            <w:tcW w:w="1836"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五星质量实时评估及奖罚</w:t>
            </w:r>
          </w:p>
        </w:tc>
        <w:tc>
          <w:tcPr>
            <w:tcW w:w="7212"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1、项目每月对各分包单位质量管理进行一次定量五星综合</w:t>
            </w:r>
            <w:r>
              <w:rPr>
                <w:rFonts w:hint="eastAsia"/>
                <w:sz w:val="21"/>
                <w:szCs w:val="21"/>
                <w:lang w:eastAsia="zh-CN"/>
              </w:rPr>
              <w:t>评估</w:t>
            </w:r>
            <w:r>
              <w:rPr>
                <w:sz w:val="21"/>
                <w:szCs w:val="21"/>
              </w:rPr>
              <w:t xml:space="preserve">，根据评定得分确定专/分包单位月度质量管理所达到的星级。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2、每月对达到 4 星良好等级单位给予10000元奖励；对达到5星优秀等级单位给予 20000 元奖励；对未达到 3 星合格等级单位，给予 20000 元罚款。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rFonts w:hint="eastAsia"/>
                <w:spacing w:val="-3"/>
                <w:sz w:val="21"/>
                <w:szCs w:val="21"/>
                <w:lang w:val="en-US" w:eastAsia="zh-CN"/>
              </w:rPr>
              <w:t>3、</w:t>
            </w:r>
            <w:r>
              <w:rPr>
                <w:spacing w:val="-3"/>
                <w:sz w:val="21"/>
                <w:szCs w:val="21"/>
              </w:rPr>
              <w:t>发生一般质量缺陷，月度评定得分扣除</w:t>
            </w:r>
            <w:r>
              <w:rPr>
                <w:sz w:val="21"/>
                <w:szCs w:val="21"/>
              </w:rPr>
              <w:t>10分</w:t>
            </w:r>
            <w:r>
              <w:rPr>
                <w:spacing w:val="-3"/>
                <w:sz w:val="21"/>
                <w:szCs w:val="21"/>
              </w:rPr>
              <w:t>/</w:t>
            </w:r>
            <w:r>
              <w:rPr>
                <w:spacing w:val="-2"/>
                <w:sz w:val="21"/>
                <w:szCs w:val="21"/>
              </w:rPr>
              <w:t>一般质量缺陷，</w:t>
            </w:r>
            <w:r>
              <w:rPr>
                <w:spacing w:val="-3"/>
                <w:sz w:val="21"/>
                <w:szCs w:val="21"/>
              </w:rPr>
              <w:t>发生本规定明列不能发生的质量问题，月度评定得分为</w:t>
            </w:r>
            <w:r>
              <w:rPr>
                <w:sz w:val="21"/>
                <w:szCs w:val="21"/>
              </w:rPr>
              <w:t>0</w:t>
            </w:r>
            <w:r>
              <w:rPr>
                <w:spacing w:val="-2"/>
                <w:sz w:val="21"/>
                <w:szCs w:val="21"/>
              </w:rPr>
              <w:t>分。</w:t>
            </w:r>
            <w:r>
              <w:rPr>
                <w:spacing w:val="-3"/>
                <w:sz w:val="21"/>
                <w:szCs w:val="21"/>
              </w:rPr>
              <w:t xml:space="preserve"> </w:t>
            </w:r>
            <w:r>
              <w:rPr>
                <w:sz w:val="21"/>
                <w:szCs w:val="21"/>
              </w:rPr>
              <w:t xml:space="preserve">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4</w:t>
            </w:r>
            <w:r>
              <w:rPr>
                <w:spacing w:val="-3"/>
                <w:sz w:val="21"/>
                <w:szCs w:val="21"/>
              </w:rPr>
              <w:t>、若</w:t>
            </w:r>
            <w:r>
              <w:rPr>
                <w:rFonts w:hint="eastAsia"/>
                <w:spacing w:val="-3"/>
                <w:sz w:val="21"/>
                <w:szCs w:val="21"/>
                <w:lang w:eastAsia="zh-CN"/>
              </w:rPr>
              <w:t>分包</w:t>
            </w:r>
            <w:r>
              <w:rPr>
                <w:spacing w:val="-3"/>
                <w:sz w:val="21"/>
                <w:szCs w:val="21"/>
              </w:rPr>
              <w:t>单位在“五星质量实时评估”中连续3个月未达到</w:t>
            </w:r>
            <w:r>
              <w:rPr>
                <w:spacing w:val="-1"/>
                <w:sz w:val="21"/>
                <w:szCs w:val="21"/>
              </w:rPr>
              <w:t>“★★★”（</w:t>
            </w:r>
            <w:r>
              <w:rPr>
                <w:spacing w:val="-2"/>
                <w:sz w:val="21"/>
                <w:szCs w:val="21"/>
              </w:rPr>
              <w:t>合格</w:t>
            </w:r>
            <w:r>
              <w:rPr>
                <w:sz w:val="21"/>
                <w:szCs w:val="21"/>
              </w:rPr>
              <w:t>）</w:t>
            </w:r>
            <w:r>
              <w:rPr>
                <w:spacing w:val="-3"/>
                <w:sz w:val="21"/>
                <w:szCs w:val="21"/>
              </w:rPr>
              <w:t>标准，将对相应的分包单位处以额外5</w:t>
            </w:r>
            <w:r>
              <w:rPr>
                <w:spacing w:val="-11"/>
                <w:sz w:val="21"/>
                <w:szCs w:val="21"/>
              </w:rPr>
              <w:t>万</w:t>
            </w:r>
            <w:r>
              <w:rPr>
                <w:sz w:val="21"/>
                <w:szCs w:val="21"/>
              </w:rPr>
              <w:t xml:space="preserve">元罚款。 </w:t>
            </w:r>
          </w:p>
        </w:tc>
      </w:tr>
    </w:tbl>
    <w:p>
      <w:pPr>
        <w:pStyle w:val="253"/>
        <w:shd w:val="clear"/>
        <w:spacing w:line="300" w:lineRule="auto"/>
        <w:ind w:firstLine="0" w:firstLineChars="0"/>
      </w:pPr>
      <w:r>
        <w:rPr>
          <w:rFonts w:hint="eastAsia" w:ascii="Times New Roman" w:hAnsi="Times New Roman" w:eastAsia="宋体" w:cs="Times New Roman"/>
          <w:b/>
          <w:snapToGrid/>
          <w:kern w:val="2"/>
          <w:sz w:val="24"/>
          <w:szCs w:val="24"/>
          <w:lang w:val="en-US" w:eastAsia="zh-CN" w:bidi="ar-SA"/>
        </w:rPr>
        <w:t>2、对分包单位的 EHS 管理体系</w:t>
      </w:r>
    </w:p>
    <w:p>
      <w:pPr>
        <w:pStyle w:val="253"/>
        <w:shd w:val="clear"/>
        <w:spacing w:line="300" w:lineRule="auto"/>
        <w:ind w:firstLine="0" w:firstLineChars="0"/>
        <w:jc w:val="center"/>
      </w:pPr>
      <w:r>
        <w:rPr>
          <w:rFonts w:hint="eastAsia" w:ascii="宋体" w:hAnsi="宋体" w:eastAsia="宋体" w:cs="宋体"/>
          <w:sz w:val="24"/>
          <w:szCs w:val="24"/>
        </w:rPr>
        <w:drawing>
          <wp:inline distT="0" distB="0" distL="114300" distR="114300">
            <wp:extent cx="6043930" cy="4177030"/>
            <wp:effectExtent l="0" t="0" r="13970" b="13970"/>
            <wp:docPr id="41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24"/>
                    <pic:cNvPicPr>
                      <a:picLocks noChangeAspect="1"/>
                    </pic:cNvPicPr>
                  </pic:nvPicPr>
                  <pic:blipFill>
                    <a:blip r:embed="rId73"/>
                    <a:stretch>
                      <a:fillRect/>
                    </a:stretch>
                  </pic:blipFill>
                  <pic:spPr>
                    <a:xfrm>
                      <a:off x="0" y="0"/>
                      <a:ext cx="6043930" cy="4177030"/>
                    </a:xfrm>
                    <a:prstGeom prst="rect">
                      <a:avLst/>
                    </a:prstGeom>
                    <a:noFill/>
                    <a:ln>
                      <a:noFill/>
                    </a:ln>
                  </pic:spPr>
                </pic:pic>
              </a:graphicData>
            </a:graphic>
          </wp:inline>
        </w:drawing>
      </w:r>
    </w:p>
    <w:p>
      <w:pPr>
        <w:pStyle w:val="253"/>
        <w:shd w:val="clear"/>
        <w:spacing w:line="300" w:lineRule="auto"/>
        <w:ind w:firstLine="0" w:firstLineChars="0"/>
      </w:pPr>
      <w:r>
        <w:rPr>
          <w:rFonts w:hint="eastAsia"/>
          <w:b/>
        </w:rPr>
        <w:t>3、</w:t>
      </w:r>
      <w:r>
        <w:rPr>
          <w:b/>
        </w:rPr>
        <w:t>PDCA</w:t>
      </w:r>
      <w:r>
        <w:rPr>
          <w:b/>
          <w:spacing w:val="-1"/>
        </w:rPr>
        <w:t xml:space="preserve"> 质量控制体系</w:t>
      </w:r>
    </w:p>
    <w:p>
      <w:pPr>
        <w:shd w:val="clear"/>
        <w:jc w:val="center"/>
      </w:pPr>
      <w:r>
        <w:rPr>
          <w:rFonts w:hint="eastAsia" w:ascii="宋体" w:hAnsi="宋体" w:eastAsia="宋体" w:cs="宋体"/>
          <w:sz w:val="24"/>
          <w:szCs w:val="24"/>
        </w:rPr>
        <w:drawing>
          <wp:inline distT="0" distB="0" distL="114300" distR="114300">
            <wp:extent cx="4674870" cy="3536950"/>
            <wp:effectExtent l="0" t="0" r="11430" b="6350"/>
            <wp:docPr id="4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27"/>
                    <pic:cNvPicPr>
                      <a:picLocks noChangeAspect="1"/>
                    </pic:cNvPicPr>
                  </pic:nvPicPr>
                  <pic:blipFill>
                    <a:blip r:embed="rId74"/>
                    <a:stretch>
                      <a:fillRect/>
                    </a:stretch>
                  </pic:blipFill>
                  <pic:spPr>
                    <a:xfrm>
                      <a:off x="0" y="0"/>
                      <a:ext cx="4674870" cy="3536950"/>
                    </a:xfrm>
                    <a:prstGeom prst="rect">
                      <a:avLst/>
                    </a:prstGeom>
                    <a:noFill/>
                    <a:ln>
                      <a:noFill/>
                    </a:ln>
                  </pic:spPr>
                </pic:pic>
              </a:graphicData>
            </a:graphic>
          </wp:inline>
        </w:drawing>
      </w:r>
    </w:p>
    <w:p>
      <w:pPr>
        <w:pStyle w:val="253"/>
        <w:shd w:val="clear"/>
        <w:spacing w:line="300" w:lineRule="auto"/>
        <w:ind w:firstLine="480"/>
        <w:rPr>
          <w:rFonts w:hint="eastAsia" w:eastAsia="宋体"/>
          <w:b/>
          <w:bCs/>
          <w:lang w:val="en-US" w:eastAsia="zh-CN"/>
        </w:rPr>
      </w:pPr>
      <w:r>
        <w:rPr>
          <w:rFonts w:hint="eastAsia"/>
          <w:b/>
          <w:bCs/>
          <w:lang w:val="en-US" w:eastAsia="zh-CN"/>
        </w:rPr>
        <w:t>4、质量管理措施</w:t>
      </w:r>
    </w:p>
    <w:p>
      <w:pPr>
        <w:pStyle w:val="253"/>
        <w:shd w:val="clear"/>
        <w:spacing w:line="360" w:lineRule="auto"/>
        <w:ind w:firstLine="480"/>
      </w:pPr>
      <w:r>
        <w:t>由项目经理作为工程总协调，统一指挥土建、安装各专业工种之间的施工、协调、调度工作，并以各专业工种的负责人为骨干组建质量控制的组织系统，建立目标体系，并确定质量控制工作制度，及时对影响质量的因素分析、预测、反馈，以便提出改进措施和方案，建立一套贯彻、检查、调整的程序。</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2127"/>
        <w:gridCol w:w="6661"/>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b/>
                <w:sz w:val="21"/>
                <w:szCs w:val="21"/>
              </w:rPr>
            </w:pPr>
            <w:r>
              <w:rPr>
                <w:b/>
                <w:sz w:val="21"/>
                <w:szCs w:val="21"/>
              </w:rPr>
              <w:t>序号</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b/>
                <w:sz w:val="21"/>
                <w:szCs w:val="21"/>
              </w:rPr>
            </w:pPr>
            <w:r>
              <w:rPr>
                <w:b/>
                <w:sz w:val="21"/>
                <w:szCs w:val="21"/>
              </w:rPr>
              <w:t>制度名称</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b/>
                <w:sz w:val="21"/>
                <w:szCs w:val="21"/>
              </w:rPr>
            </w:pPr>
            <w:r>
              <w:rPr>
                <w:b/>
                <w:sz w:val="21"/>
                <w:szCs w:val="21"/>
              </w:rPr>
              <w:t>制度内容</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1</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工程质量总承包负责制度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pacing w:val="-4"/>
                <w:sz w:val="21"/>
                <w:szCs w:val="21"/>
              </w:rPr>
              <w:t>总包项目部对工程的分部分项工程质量向建设单位负责，每月</w:t>
            </w:r>
            <w:r>
              <w:rPr>
                <w:spacing w:val="-1"/>
                <w:sz w:val="21"/>
                <w:szCs w:val="21"/>
              </w:rPr>
              <w:t>向业主</w:t>
            </w:r>
            <w:r>
              <w:rPr>
                <w:sz w:val="21"/>
                <w:szCs w:val="21"/>
              </w:rPr>
              <w:t>（</w:t>
            </w:r>
            <w:r>
              <w:rPr>
                <w:spacing w:val="-2"/>
                <w:sz w:val="21"/>
                <w:szCs w:val="21"/>
              </w:rPr>
              <w:t>或监理</w:t>
            </w:r>
            <w:r>
              <w:rPr>
                <w:spacing w:val="-3"/>
                <w:sz w:val="21"/>
                <w:szCs w:val="21"/>
              </w:rPr>
              <w:t>）</w:t>
            </w:r>
            <w:r>
              <w:rPr>
                <w:spacing w:val="-4"/>
                <w:sz w:val="21"/>
                <w:szCs w:val="21"/>
              </w:rPr>
              <w:t>呈交一份本月技术质量总结。分包单位对其分包工程施工质量向总包单位负责，各分包单位每周向总包方</w:t>
            </w:r>
            <w:r>
              <w:rPr>
                <w:rFonts w:hint="eastAsia"/>
                <w:spacing w:val="-4"/>
                <w:sz w:val="21"/>
                <w:szCs w:val="21"/>
                <w:lang w:eastAsia="zh-CN"/>
              </w:rPr>
              <w:t>提交</w:t>
            </w:r>
            <w:r>
              <w:rPr>
                <w:sz w:val="21"/>
                <w:szCs w:val="21"/>
              </w:rPr>
              <w:t>一份技术质量总结。</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2</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pacing w:val="-1"/>
                <w:sz w:val="21"/>
                <w:szCs w:val="21"/>
              </w:rPr>
              <w:t xml:space="preserve">图纸会审技术 </w:t>
            </w:r>
            <w:r>
              <w:rPr>
                <w:spacing w:val="-3"/>
                <w:sz w:val="21"/>
                <w:szCs w:val="21"/>
              </w:rPr>
              <w:t>交底制度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技术质量室组织项目相关人员进行图纸审核、</w:t>
            </w:r>
            <w:r>
              <w:rPr>
                <w:rFonts w:hint="eastAsia"/>
                <w:sz w:val="21"/>
                <w:szCs w:val="21"/>
                <w:lang w:eastAsia="zh-CN"/>
              </w:rPr>
              <w:t>做好</w:t>
            </w:r>
            <w:r>
              <w:rPr>
                <w:sz w:val="21"/>
                <w:szCs w:val="21"/>
              </w:rPr>
              <w:t>图纸会审记录，协助甲方、设计</w:t>
            </w:r>
            <w:r>
              <w:rPr>
                <w:rFonts w:hint="eastAsia"/>
                <w:sz w:val="21"/>
                <w:szCs w:val="21"/>
                <w:lang w:eastAsia="zh-CN"/>
              </w:rPr>
              <w:t>做好</w:t>
            </w:r>
            <w:r>
              <w:rPr>
                <w:sz w:val="21"/>
                <w:szCs w:val="21"/>
              </w:rPr>
              <w:t>设计交底工作，解决图纸中存在的问题，并</w:t>
            </w:r>
            <w:r>
              <w:rPr>
                <w:rFonts w:hint="eastAsia"/>
                <w:sz w:val="21"/>
                <w:szCs w:val="21"/>
                <w:lang w:eastAsia="zh-CN"/>
              </w:rPr>
              <w:t>做好</w:t>
            </w:r>
            <w:r>
              <w:rPr>
                <w:sz w:val="21"/>
                <w:szCs w:val="21"/>
              </w:rPr>
              <w:t>记录。</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3</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材料进场检验制度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工程钢筋、水泥及各类材料进场，需具有出厂</w:t>
            </w:r>
            <w:r>
              <w:rPr>
                <w:rFonts w:hint="eastAsia"/>
                <w:sz w:val="21"/>
                <w:szCs w:val="21"/>
                <w:lang w:eastAsia="zh-CN"/>
              </w:rPr>
              <w:t>合格证</w:t>
            </w:r>
            <w:r>
              <w:rPr>
                <w:sz w:val="21"/>
                <w:szCs w:val="21"/>
              </w:rPr>
              <w:t>，并根据国家规范要求分批量进行抽检，抽验不合格的材料一律不准使用。</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4</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样板引路制度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施工操作注重工序优化、工艺改进和工序标准化操作，通过不断探索，积累必要的管理和操作经验，提高工序的操作水平，确保操作质量。</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5</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施工挂牌制度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主要工种如钢筋、混凝土、模板、砌筑、抹灰及水电安装等，施工过程中在现场实行挂牌制，注明管理者，操作者，施工日期，并做相应的图文记录，作为重要的施工档案保存。</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6</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“三检”制度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实行自检、互检、交接检制度，自检要</w:t>
            </w:r>
            <w:r>
              <w:rPr>
                <w:rFonts w:hint="eastAsia"/>
                <w:sz w:val="21"/>
                <w:szCs w:val="21"/>
                <w:lang w:eastAsia="zh-CN"/>
              </w:rPr>
              <w:t>做文字记录</w:t>
            </w:r>
            <w:r>
              <w:rPr>
                <w:sz w:val="21"/>
                <w:szCs w:val="21"/>
              </w:rPr>
              <w:t>。隐蔽工程要由施工员组织项目土建工程师、质量工程师、班组长检查，并做出较详细的文字记录。</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7</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质量保证金制度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z w:val="21"/>
                <w:szCs w:val="21"/>
              </w:rPr>
              <w:t>项目部配备一定数量的资金作为项目质量保证金，以保证科技进步、技术攻关和施工质量奖励的实现。</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8</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center"/>
              <w:textAlignment w:val="auto"/>
              <w:rPr>
                <w:sz w:val="21"/>
                <w:szCs w:val="21"/>
              </w:rPr>
            </w:pPr>
            <w:r>
              <w:rPr>
                <w:sz w:val="21"/>
                <w:szCs w:val="21"/>
              </w:rPr>
              <w:t>奖罚制度</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firstLine="0"/>
              <w:jc w:val="both"/>
              <w:textAlignment w:val="auto"/>
              <w:rPr>
                <w:sz w:val="21"/>
                <w:szCs w:val="21"/>
              </w:rPr>
            </w:pPr>
            <w:r>
              <w:rPr>
                <w:spacing w:val="-3"/>
                <w:sz w:val="21"/>
                <w:szCs w:val="21"/>
              </w:rPr>
              <w:t>依据国家质量验收规范，每周进行现场质量检查，奖优罚劣。</w:t>
            </w:r>
          </w:p>
        </w:tc>
      </w:tr>
    </w:tbl>
    <w:p>
      <w:pPr>
        <w:pStyle w:val="4"/>
        <w:shd w:val="clear"/>
        <w:bidi w:val="0"/>
      </w:pPr>
      <w:bookmarkStart w:id="78" w:name="_Toc17839"/>
      <w:bookmarkStart w:id="79" w:name="_Toc13008"/>
      <w:bookmarkStart w:id="80" w:name="_Toc16512863"/>
      <w:bookmarkStart w:id="81" w:name="_Toc16513552"/>
      <w:bookmarkStart w:id="82" w:name="_Toc16513442"/>
      <w:bookmarkStart w:id="83" w:name="_Toc629"/>
      <w:r>
        <w:rPr>
          <w:rFonts w:hint="eastAsia"/>
        </w:rPr>
        <w:t>第四节  质量保证措施</w:t>
      </w:r>
      <w:bookmarkEnd w:id="78"/>
      <w:bookmarkEnd w:id="79"/>
      <w:bookmarkEnd w:id="80"/>
      <w:bookmarkEnd w:id="81"/>
      <w:bookmarkEnd w:id="82"/>
      <w:bookmarkEnd w:id="83"/>
    </w:p>
    <w:p>
      <w:pPr>
        <w:pStyle w:val="253"/>
        <w:shd w:val="clear"/>
        <w:spacing w:line="300" w:lineRule="auto"/>
        <w:ind w:firstLine="480" w:firstLineChars="200"/>
        <w:rPr>
          <w:b/>
          <w:bCs/>
        </w:rPr>
      </w:pPr>
      <w:r>
        <w:rPr>
          <w:b/>
          <w:bCs/>
        </w:rPr>
        <w:t>1、钢筋工程质量保证措施</w:t>
      </w:r>
    </w:p>
    <w:tbl>
      <w:tblPr>
        <w:tblStyle w:val="54"/>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52"/>
        <w:gridCol w:w="3697"/>
        <w:gridCol w:w="5232"/>
      </w:tblGrid>
      <w:tr>
        <w:trPr>
          <w:trHeight w:val="0" w:hRule="atLeast"/>
          <w:tblHeader/>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序号</w:t>
            </w:r>
          </w:p>
        </w:tc>
        <w:tc>
          <w:tcPr>
            <w:tcW w:w="8929" w:type="dxa"/>
            <w:gridSpan w:val="2"/>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保证措施</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1</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每批使用的钢筋应附有生产厂家的合格证明书，并标示批号和出厂检验的有关力学性能试验资料。钢筋的品种和质量必须符合设计要求和有关标准规定。钢筋进场必须附带钢筋质量保证书，进口钢筋必须做化学分析报告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2</w:t>
            </w:r>
          </w:p>
        </w:tc>
        <w:tc>
          <w:tcPr>
            <w:tcW w:w="369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both"/>
              <w:textAlignment w:val="auto"/>
              <w:rPr>
                <w:sz w:val="21"/>
                <w:szCs w:val="21"/>
              </w:rPr>
            </w:pPr>
            <w:r>
              <w:rPr>
                <w:sz w:val="21"/>
                <w:szCs w:val="21"/>
              </w:rPr>
              <w:t>每批钢筋都须按规范要求进行见证取样试验，所有试验结果必须符合有关标准的规定。存储的钢筋都要按公司质量管理体系程序文件要求进行材料的</w:t>
            </w:r>
            <w:r>
              <w:rPr>
                <w:rFonts w:hint="eastAsia"/>
                <w:sz w:val="21"/>
                <w:szCs w:val="21"/>
                <w:lang w:eastAsia="zh-CN"/>
              </w:rPr>
              <w:t>可追溯性</w:t>
            </w:r>
            <w:r>
              <w:rPr>
                <w:sz w:val="21"/>
                <w:szCs w:val="21"/>
              </w:rPr>
              <w:t xml:space="preserve">标识。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57"/>
              <w:jc w:val="both"/>
              <w:textAlignment w:val="auto"/>
              <w:rPr>
                <w:sz w:val="21"/>
                <w:szCs w:val="21"/>
              </w:rPr>
            </w:pPr>
          </w:p>
        </w:tc>
        <w:tc>
          <w:tcPr>
            <w:tcW w:w="523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rFonts w:ascii="Times New Roman"/>
                <w:sz w:val="16"/>
                <w:szCs w:val="21"/>
              </w:rPr>
            </w:pPr>
            <w:r>
              <w:rPr>
                <w:sz w:val="21"/>
                <w:szCs w:val="21"/>
              </w:rPr>
              <w:drawing>
                <wp:inline distT="0" distB="0" distL="0" distR="0">
                  <wp:extent cx="2912110" cy="1692275"/>
                  <wp:effectExtent l="0" t="0" r="13970" b="14605"/>
                  <wp:docPr id="485" name="image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220.jpeg"/>
                          <pic:cNvPicPr>
                            <a:picLocks noChangeAspect="1"/>
                          </pic:cNvPicPr>
                        </pic:nvPicPr>
                        <pic:blipFill>
                          <a:blip r:embed="rId75" cstate="print"/>
                          <a:stretch>
                            <a:fillRect/>
                          </a:stretch>
                        </pic:blipFill>
                        <pic:spPr>
                          <a:xfrm>
                            <a:off x="0" y="0"/>
                            <a:ext cx="2912110" cy="1692275"/>
                          </a:xfrm>
                          <a:prstGeom prst="rect">
                            <a:avLst/>
                          </a:prstGeom>
                        </pic:spPr>
                      </pic:pic>
                    </a:graphicData>
                  </a:graphic>
                </wp:inline>
              </w:drawing>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3</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钢筋应存储在高于地面的平台、垫木或其他</w:t>
            </w:r>
            <w:r>
              <w:rPr>
                <w:rFonts w:hint="eastAsia"/>
                <w:sz w:val="21"/>
                <w:szCs w:val="21"/>
                <w:lang w:eastAsia="zh-CN"/>
              </w:rPr>
              <w:t>支撑物</w:t>
            </w:r>
            <w:r>
              <w:rPr>
                <w:sz w:val="21"/>
                <w:szCs w:val="21"/>
              </w:rPr>
              <w:t xml:space="preserve">上，并尽量保护它不受机械损伤和不暴露在可使钢筋生锈的环境中。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4</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钢筋必须按图纸所示的形状弯曲，除非监理工程师另有许可，所有钢筋均应冷弯。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5</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钢筋临时堆放场地需高出施工场地 100mm 以上，堆场四周</w:t>
            </w:r>
            <w:r>
              <w:rPr>
                <w:rFonts w:hint="eastAsia"/>
                <w:sz w:val="21"/>
                <w:szCs w:val="21"/>
                <w:lang w:eastAsia="zh-CN"/>
              </w:rPr>
              <w:t>做好</w:t>
            </w:r>
            <w:r>
              <w:rPr>
                <w:sz w:val="21"/>
                <w:szCs w:val="21"/>
              </w:rPr>
              <w:t xml:space="preserve">排水沟，同时钢筋按规格，用途分别堆放在钢筋架上。钢筋表面锈蚀 的，必须经除锈处理，经除锈后，仍有较明显的锈蚀的，不能使用；钢筋表面已有粒状锈蚀的，不能使用。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6</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钢筋的规格形式、尺寸、数量、间距、锚固长度、接头位置、长度必须符合设计要求和规范规定。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7</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钢筋的表面应洁净，使用前应将表面油渍、漆污、锈皮等清除干净；钢筋应平直，无局部弯折。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8</w:t>
            </w:r>
          </w:p>
        </w:tc>
        <w:tc>
          <w:tcPr>
            <w:tcW w:w="8929"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钢筋应按图纸所示的位置准确地安装，并用标准的支承将钢筋牢靠地固定好，使其在浇筑过程中不致移位。 </w:t>
            </w:r>
          </w:p>
        </w:tc>
      </w:tr>
    </w:tbl>
    <w:p>
      <w:pPr>
        <w:pStyle w:val="253"/>
        <w:shd w:val="clear"/>
        <w:spacing w:line="300" w:lineRule="auto"/>
        <w:ind w:firstLine="480" w:firstLineChars="200"/>
      </w:pPr>
      <w:r>
        <w:rPr>
          <w:b/>
        </w:rPr>
        <w:t>2、</w:t>
      </w:r>
      <w:r>
        <w:rPr>
          <w:rFonts w:hint="eastAsia"/>
          <w:b/>
          <w:lang w:eastAsia="zh-CN"/>
        </w:rPr>
        <w:t>模板</w:t>
      </w:r>
      <w:r>
        <w:rPr>
          <w:b/>
        </w:rPr>
        <w:t>工程质量保证措施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52"/>
        <w:gridCol w:w="8929"/>
      </w:tblGrid>
      <w:tr>
        <w:trPr>
          <w:trHeight w:val="0" w:hRule="atLeast"/>
          <w:tblHeader/>
          <w:jc w:val="center"/>
        </w:trPr>
        <w:tc>
          <w:tcPr>
            <w:tcW w:w="852"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 xml:space="preserve">序号 </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 xml:space="preserve">保证措施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1</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后浇带模板支架应单独支设，与主体结构支架分离，在主体结构支架拆除时保留，在后浇带施工完毕强度满足要求后</w:t>
            </w:r>
            <w:r>
              <w:rPr>
                <w:rFonts w:hint="eastAsia"/>
                <w:sz w:val="21"/>
                <w:szCs w:val="21"/>
                <w:lang w:eastAsia="zh-CN"/>
              </w:rPr>
              <w:t>再</w:t>
            </w:r>
            <w:r>
              <w:rPr>
                <w:sz w:val="21"/>
                <w:szCs w:val="21"/>
              </w:rPr>
              <w:t xml:space="preserve">拆除。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2</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对于墙柱施工缝的接头位置，为保证接缝处的构件质量，防止涨膜、漏浆等情况的发生，在下部结构应增加一道对拉螺杆。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3</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配模时梁柱节点、梁梁节点作为工序控制的重点</w:t>
            </w:r>
            <w:r>
              <w:rPr>
                <w:rFonts w:hint="eastAsia"/>
                <w:sz w:val="21"/>
                <w:szCs w:val="21"/>
                <w:lang w:eastAsia="zh-CN"/>
              </w:rPr>
              <w:t>，</w:t>
            </w:r>
            <w:r>
              <w:rPr>
                <w:sz w:val="21"/>
                <w:szCs w:val="21"/>
              </w:rPr>
              <w:t xml:space="preserve">对确保混凝土成型后的观感质量非常重要。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drawing>
                <wp:inline distT="0" distB="0" distL="0" distR="0">
                  <wp:extent cx="2331085" cy="1727835"/>
                  <wp:effectExtent l="0" t="0" r="12065" b="5715"/>
                  <wp:docPr id="489"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221.jpeg"/>
                          <pic:cNvPicPr>
                            <a:picLocks noChangeAspect="1"/>
                          </pic:cNvPicPr>
                        </pic:nvPicPr>
                        <pic:blipFill>
                          <a:blip r:embed="rId76" cstate="print"/>
                          <a:stretch>
                            <a:fillRect/>
                          </a:stretch>
                        </pic:blipFill>
                        <pic:spPr>
                          <a:xfrm>
                            <a:off x="0" y="0"/>
                            <a:ext cx="2331719" cy="1728469"/>
                          </a:xfrm>
                          <a:prstGeom prst="rect">
                            <a:avLst/>
                          </a:prstGeom>
                        </pic:spPr>
                      </pic:pic>
                    </a:graphicData>
                  </a:graphic>
                </wp:inline>
              </w:drawing>
            </w:r>
            <w:r>
              <w:rPr>
                <w:rFonts w:ascii="Times New Roman"/>
                <w:sz w:val="16"/>
                <w:szCs w:val="21"/>
              </w:rPr>
              <w:t xml:space="preserve">    </w:t>
            </w:r>
            <w:r>
              <w:rPr>
                <w:rFonts w:ascii="Times New Roman"/>
                <w:spacing w:val="-10"/>
                <w:sz w:val="16"/>
                <w:szCs w:val="21"/>
              </w:rPr>
              <w:t xml:space="preserve"> </w:t>
            </w:r>
            <w:r>
              <w:rPr>
                <w:rFonts w:ascii="Times New Roman"/>
                <w:spacing w:val="-10"/>
                <w:sz w:val="16"/>
                <w:szCs w:val="21"/>
              </w:rPr>
              <w:drawing>
                <wp:inline distT="0" distB="0" distL="0" distR="0">
                  <wp:extent cx="2524125" cy="1737360"/>
                  <wp:effectExtent l="0" t="0" r="9525" b="15240"/>
                  <wp:docPr id="491" name="image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222.jpeg"/>
                          <pic:cNvPicPr>
                            <a:picLocks noChangeAspect="1"/>
                          </pic:cNvPicPr>
                        </pic:nvPicPr>
                        <pic:blipFill>
                          <a:blip r:embed="rId77" cstate="print"/>
                          <a:stretch>
                            <a:fillRect/>
                          </a:stretch>
                        </pic:blipFill>
                        <pic:spPr>
                          <a:xfrm>
                            <a:off x="0" y="0"/>
                            <a:ext cx="2524125" cy="1737360"/>
                          </a:xfrm>
                          <a:prstGeom prst="rect">
                            <a:avLst/>
                          </a:prstGeom>
                        </pic:spPr>
                      </pic:pic>
                    </a:graphicData>
                  </a:graphic>
                </wp:inline>
              </w:drawing>
            </w:r>
            <w:r>
              <w:rPr>
                <w:sz w:val="21"/>
                <w:szCs w:val="21"/>
              </w:rPr>
              <w:t xml:space="preserve">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4</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对模板工程的墙柱垂直度、顶板水平度等进行实测实量，做到事前控制。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对结构实体的垂直度、平整度等进行实测实量。 </w:t>
            </w:r>
          </w:p>
        </w:tc>
      </w:tr>
      <w:tr>
        <w:trPr>
          <w:trHeight w:val="0" w:hRule="atLeast"/>
          <w:jc w:val="center"/>
        </w:trPr>
        <w:tc>
          <w:tcPr>
            <w:tcW w:w="852"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5</w:t>
            </w:r>
          </w:p>
        </w:tc>
        <w:tc>
          <w:tcPr>
            <w:tcW w:w="8929" w:type="dxa"/>
            <w:shd w:val="clear" w:color="auto" w:fill="auto"/>
            <w:vAlign w:val="top"/>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确保支撑体系的刚度、强度及稳定性，严格控制模板起拱高度。 </w:t>
            </w:r>
          </w:p>
        </w:tc>
      </w:tr>
    </w:tbl>
    <w:p>
      <w:pPr>
        <w:pStyle w:val="253"/>
        <w:shd w:val="clear"/>
        <w:spacing w:line="300" w:lineRule="auto"/>
        <w:ind w:firstLine="480" w:firstLineChars="200"/>
      </w:pPr>
      <w:r>
        <w:rPr>
          <w:b/>
        </w:rPr>
        <w:t>3、混凝土施工质量保证措施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419"/>
        <w:gridCol w:w="8363"/>
      </w:tblGrid>
      <w:tr>
        <w:trPr>
          <w:trHeight w:val="0" w:hRule="atLeast"/>
          <w:tblHeader/>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控制要点</w:t>
            </w:r>
          </w:p>
        </w:tc>
        <w:tc>
          <w:tcPr>
            <w:tcW w:w="8363"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保证措施</w:t>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优化配合比</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1、减少骨料含泥量，提高混凝土强度，减少收缩及裂纹产生。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2、加强进场检验批次检验和验收，不合格材料严禁进场。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3</w:t>
            </w:r>
            <w:r>
              <w:rPr>
                <w:spacing w:val="-3"/>
                <w:sz w:val="21"/>
                <w:szCs w:val="21"/>
              </w:rPr>
              <w:t>、设计批准下，采用低热或中热水泥，掺入适量缓凝剂、减水剂减少水化热。</w:t>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浇筑、温差</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养护</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drawing>
                <wp:inline distT="0" distB="0" distL="0" distR="0">
                  <wp:extent cx="4815840" cy="1610360"/>
                  <wp:effectExtent l="0" t="0" r="3810" b="8890"/>
                  <wp:docPr id="493"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223.jpeg"/>
                          <pic:cNvPicPr>
                            <a:picLocks noChangeAspect="1"/>
                          </pic:cNvPicPr>
                        </pic:nvPicPr>
                        <pic:blipFill>
                          <a:blip r:embed="rId78" cstate="print"/>
                          <a:stretch>
                            <a:fillRect/>
                          </a:stretch>
                        </pic:blipFill>
                        <pic:spPr>
                          <a:xfrm>
                            <a:off x="0" y="0"/>
                            <a:ext cx="4815840" cy="1610453"/>
                          </a:xfrm>
                          <a:prstGeom prst="rect">
                            <a:avLst/>
                          </a:prstGeom>
                        </pic:spPr>
                      </pic:pic>
                    </a:graphicData>
                  </a:graphic>
                </wp:inline>
              </w:drawing>
            </w:r>
            <w:r>
              <w:rPr>
                <w:rFonts w:ascii="Times New Roman"/>
                <w:sz w:val="16"/>
                <w:szCs w:val="21"/>
              </w:rPr>
              <w:t xml:space="preserve"> </w:t>
            </w:r>
            <w:r>
              <w:rPr>
                <w:sz w:val="21"/>
                <w:szCs w:val="21"/>
              </w:rPr>
              <w:t xml:space="preserve"> </w:t>
            </w:r>
          </w:p>
        </w:tc>
      </w:tr>
    </w:tbl>
    <w:p>
      <w:pPr>
        <w:pStyle w:val="253"/>
        <w:shd w:val="clear"/>
        <w:spacing w:line="300" w:lineRule="auto"/>
        <w:ind w:firstLine="480" w:firstLineChars="200"/>
      </w:pPr>
      <w:r>
        <w:rPr>
          <w:b/>
        </w:rPr>
        <w:t>4、砌筑工程质量保证措施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419"/>
        <w:gridCol w:w="8363"/>
      </w:tblGrid>
      <w:tr>
        <w:trPr>
          <w:trHeight w:val="0" w:hRule="atLeast"/>
          <w:tblHeader/>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b/>
                <w:sz w:val="21"/>
                <w:szCs w:val="21"/>
              </w:rPr>
            </w:pPr>
            <w:r>
              <w:rPr>
                <w:b/>
                <w:sz w:val="21"/>
                <w:szCs w:val="21"/>
              </w:rPr>
              <w:t>控制要点</w:t>
            </w:r>
          </w:p>
        </w:tc>
        <w:tc>
          <w:tcPr>
            <w:tcW w:w="8363"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b/>
                <w:sz w:val="21"/>
                <w:szCs w:val="21"/>
              </w:rPr>
            </w:pPr>
            <w:r>
              <w:rPr>
                <w:b/>
                <w:sz w:val="21"/>
                <w:szCs w:val="21"/>
              </w:rPr>
              <w:t>保证措施</w:t>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t>预拌砂浆</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z w:val="21"/>
                <w:szCs w:val="21"/>
              </w:rPr>
              <w:t>预拌水泥砂浆和水泥混合砂浆出料后3h和4h内使用完毕，当施工期间使用温度</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z w:val="21"/>
                <w:szCs w:val="21"/>
              </w:rPr>
              <w:t xml:space="preserve">超过30℃，必须在2h和3h内使用完毕。 </w:t>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t>灰缝</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pacing w:val="-3"/>
                <w:sz w:val="21"/>
                <w:szCs w:val="21"/>
              </w:rPr>
              <w:t>灰缝的温度控制，灰缝应砂浆饱满，水平灰缝饱满度不应低于90%，竖向灰缝饱满度不应低于</w:t>
            </w:r>
            <w:r>
              <w:rPr>
                <w:sz w:val="21"/>
                <w:szCs w:val="21"/>
              </w:rPr>
              <w:t>80</w:t>
            </w:r>
            <w:r>
              <w:rPr>
                <w:spacing w:val="-2"/>
                <w:sz w:val="21"/>
                <w:szCs w:val="21"/>
              </w:rPr>
              <w:t>%。</w:t>
            </w:r>
            <w:r>
              <w:rPr>
                <w:sz w:val="21"/>
                <w:szCs w:val="21"/>
              </w:rPr>
              <w:t xml:space="preserve">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drawing>
                <wp:inline distT="0" distB="0" distL="0" distR="0">
                  <wp:extent cx="2013585" cy="1357630"/>
                  <wp:effectExtent l="0" t="0" r="5715" b="13970"/>
                  <wp:docPr id="495" name="image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224.jpeg"/>
                          <pic:cNvPicPr>
                            <a:picLocks noChangeAspect="1"/>
                          </pic:cNvPicPr>
                        </pic:nvPicPr>
                        <pic:blipFill>
                          <a:blip r:embed="rId79" cstate="print"/>
                          <a:stretch>
                            <a:fillRect/>
                          </a:stretch>
                        </pic:blipFill>
                        <pic:spPr>
                          <a:xfrm>
                            <a:off x="0" y="0"/>
                            <a:ext cx="2013585" cy="1357630"/>
                          </a:xfrm>
                          <a:prstGeom prst="rect">
                            <a:avLst/>
                          </a:prstGeom>
                        </pic:spPr>
                      </pic:pic>
                    </a:graphicData>
                  </a:graphic>
                </wp:inline>
              </w:drawing>
            </w:r>
            <w:r>
              <w:rPr>
                <w:rFonts w:ascii="Times New Roman"/>
                <w:sz w:val="16"/>
                <w:szCs w:val="21"/>
              </w:rPr>
              <w:t xml:space="preserve"> </w:t>
            </w:r>
            <w:r>
              <w:rPr>
                <w:rFonts w:ascii="Times New Roman"/>
                <w:spacing w:val="20"/>
                <w:sz w:val="16"/>
                <w:szCs w:val="21"/>
              </w:rPr>
              <w:t xml:space="preserve"> </w:t>
            </w:r>
            <w:r>
              <w:rPr>
                <w:rFonts w:ascii="Times New Roman"/>
                <w:spacing w:val="20"/>
                <w:sz w:val="16"/>
                <w:szCs w:val="21"/>
              </w:rPr>
              <w:drawing>
                <wp:inline distT="0" distB="0" distL="0" distR="0">
                  <wp:extent cx="1979295" cy="1362075"/>
                  <wp:effectExtent l="0" t="0" r="1905" b="9525"/>
                  <wp:docPr id="49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225.jpeg"/>
                          <pic:cNvPicPr>
                            <a:picLocks noChangeAspect="1"/>
                          </pic:cNvPicPr>
                        </pic:nvPicPr>
                        <pic:blipFill>
                          <a:blip r:embed="rId80" cstate="print"/>
                          <a:stretch>
                            <a:fillRect/>
                          </a:stretch>
                        </pic:blipFill>
                        <pic:spPr>
                          <a:xfrm>
                            <a:off x="0" y="0"/>
                            <a:ext cx="1979295" cy="1362075"/>
                          </a:xfrm>
                          <a:prstGeom prst="rect">
                            <a:avLst/>
                          </a:prstGeom>
                        </pic:spPr>
                      </pic:pic>
                    </a:graphicData>
                  </a:graphic>
                </wp:inline>
              </w:drawing>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t>构造柱</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z w:val="21"/>
                <w:szCs w:val="21"/>
              </w:rPr>
              <w:t>在构造柱与墙体连接处，墙体应留马牙搓，操作时用线锤</w:t>
            </w:r>
            <w:r>
              <w:rPr>
                <w:rFonts w:hint="eastAsia"/>
                <w:sz w:val="21"/>
                <w:szCs w:val="21"/>
                <w:lang w:eastAsia="zh-CN"/>
              </w:rPr>
              <w:t>吊线</w:t>
            </w:r>
            <w:r>
              <w:rPr>
                <w:sz w:val="21"/>
                <w:szCs w:val="21"/>
              </w:rPr>
              <w:t xml:space="preserve">控制马牙搓，砌块进退整齐，尺寸符合规范规定，构造柱两边粘贴双面胶。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drawing>
                <wp:inline distT="0" distB="0" distL="0" distR="0">
                  <wp:extent cx="2070735" cy="1480820"/>
                  <wp:effectExtent l="0" t="0" r="5715" b="5080"/>
                  <wp:docPr id="499" name="image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226.jpeg"/>
                          <pic:cNvPicPr>
                            <a:picLocks noChangeAspect="1"/>
                          </pic:cNvPicPr>
                        </pic:nvPicPr>
                        <pic:blipFill>
                          <a:blip r:embed="rId81" cstate="print"/>
                          <a:stretch>
                            <a:fillRect/>
                          </a:stretch>
                        </pic:blipFill>
                        <pic:spPr>
                          <a:xfrm>
                            <a:off x="0" y="0"/>
                            <a:ext cx="2070735" cy="1480820"/>
                          </a:xfrm>
                          <a:prstGeom prst="rect">
                            <a:avLst/>
                          </a:prstGeom>
                        </pic:spPr>
                      </pic:pic>
                    </a:graphicData>
                  </a:graphic>
                </wp:inline>
              </w:drawing>
            </w:r>
            <w:r>
              <w:rPr>
                <w:spacing w:val="-1"/>
                <w:sz w:val="21"/>
                <w:szCs w:val="21"/>
              </w:rPr>
              <w:t xml:space="preserve"> </w:t>
            </w:r>
            <w:r>
              <w:rPr>
                <w:spacing w:val="-1"/>
                <w:sz w:val="21"/>
                <w:szCs w:val="21"/>
              </w:rPr>
              <w:drawing>
                <wp:inline distT="0" distB="0" distL="0" distR="0">
                  <wp:extent cx="1986280" cy="1478915"/>
                  <wp:effectExtent l="0" t="0" r="13970" b="6985"/>
                  <wp:docPr id="501" name="image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227.jpeg"/>
                          <pic:cNvPicPr>
                            <a:picLocks noChangeAspect="1"/>
                          </pic:cNvPicPr>
                        </pic:nvPicPr>
                        <pic:blipFill>
                          <a:blip r:embed="rId82" cstate="print"/>
                          <a:stretch>
                            <a:fillRect/>
                          </a:stretch>
                        </pic:blipFill>
                        <pic:spPr>
                          <a:xfrm>
                            <a:off x="0" y="0"/>
                            <a:ext cx="1986280" cy="1478915"/>
                          </a:xfrm>
                          <a:prstGeom prst="rect">
                            <a:avLst/>
                          </a:prstGeom>
                        </pic:spPr>
                      </pic:pic>
                    </a:graphicData>
                  </a:graphic>
                </wp:inline>
              </w:drawing>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t>预留预埋</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z w:val="21"/>
                <w:szCs w:val="21"/>
              </w:rPr>
              <w:t xml:space="preserve">砌体中线槽采用双切片切割，机电盒提前预埋封堵，预留线盒留设考虑了与以后抹灰层相平且固定。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textAlignment w:val="auto"/>
              <w:rPr>
                <w:sz w:val="21"/>
                <w:szCs w:val="21"/>
              </w:rPr>
            </w:pPr>
            <w:r>
              <w:rPr>
                <w:spacing w:val="-3"/>
                <w:sz w:val="21"/>
                <w:szCs w:val="21"/>
              </w:rPr>
              <w:t>风管穿墙设钢制套管，两端与墙齐，风管均匀居中，交界面四周砂浆作饰面。</w:t>
            </w:r>
            <w:r>
              <w:rPr>
                <w:sz w:val="21"/>
                <w:szCs w:val="21"/>
              </w:rPr>
              <w:t xml:space="preserve"> </w:t>
            </w:r>
          </w:p>
        </w:tc>
      </w:tr>
      <w:tr>
        <w:trPr>
          <w:trHeight w:val="0" w:hRule="atLeast"/>
          <w:jc w:val="center"/>
        </w:trPr>
        <w:tc>
          <w:tcPr>
            <w:tcW w:w="1419"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sz w:val="21"/>
                <w:szCs w:val="21"/>
              </w:rPr>
              <w:t>实测实量</w:t>
            </w:r>
          </w:p>
        </w:tc>
        <w:tc>
          <w:tcPr>
            <w:tcW w:w="8363"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firstLineChars="0"/>
              <w:jc w:val="center"/>
              <w:textAlignment w:val="auto"/>
              <w:rPr>
                <w:sz w:val="21"/>
                <w:szCs w:val="21"/>
              </w:rPr>
            </w:pPr>
            <w:r>
              <w:rPr>
                <w:rFonts w:hint="eastAsia"/>
                <w:sz w:val="21"/>
                <w:szCs w:val="21"/>
              </w:rPr>
              <w:drawing>
                <wp:inline distT="0" distB="0" distL="114300" distR="114300">
                  <wp:extent cx="2248535" cy="1686560"/>
                  <wp:effectExtent l="0" t="0" r="18415" b="8890"/>
                  <wp:docPr id="426" name="图片 426" descr="591d66f21f9ec01ae5dcbf92f04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426" descr="591d66f21f9ec01ae5dcbf92f040678"/>
                          <pic:cNvPicPr>
                            <a:picLocks noChangeAspect="1"/>
                          </pic:cNvPicPr>
                        </pic:nvPicPr>
                        <pic:blipFill>
                          <a:blip r:embed="rId83"/>
                          <a:stretch>
                            <a:fillRect/>
                          </a:stretch>
                        </pic:blipFill>
                        <pic:spPr>
                          <a:xfrm>
                            <a:off x="0" y="0"/>
                            <a:ext cx="2248535" cy="1686560"/>
                          </a:xfrm>
                          <a:prstGeom prst="rect">
                            <a:avLst/>
                          </a:prstGeom>
                        </pic:spPr>
                      </pic:pic>
                    </a:graphicData>
                  </a:graphic>
                </wp:inline>
              </w:drawing>
            </w:r>
            <w:r>
              <w:rPr>
                <w:rFonts w:hint="eastAsia"/>
                <w:sz w:val="21"/>
                <w:szCs w:val="21"/>
              </w:rPr>
              <w:drawing>
                <wp:inline distT="0" distB="0" distL="114300" distR="114300">
                  <wp:extent cx="1623695" cy="1680210"/>
                  <wp:effectExtent l="0" t="0" r="14605" b="15240"/>
                  <wp:docPr id="428" name="图片 428" descr="微信图片_20210522103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descr="微信图片_20210522103545"/>
                          <pic:cNvPicPr>
                            <a:picLocks noChangeAspect="1"/>
                          </pic:cNvPicPr>
                        </pic:nvPicPr>
                        <pic:blipFill>
                          <a:blip r:embed="rId84"/>
                          <a:srcRect b="27167"/>
                          <a:stretch>
                            <a:fillRect/>
                          </a:stretch>
                        </pic:blipFill>
                        <pic:spPr>
                          <a:xfrm>
                            <a:off x="0" y="0"/>
                            <a:ext cx="1623695" cy="1680210"/>
                          </a:xfrm>
                          <a:prstGeom prst="rect">
                            <a:avLst/>
                          </a:prstGeom>
                        </pic:spPr>
                      </pic:pic>
                    </a:graphicData>
                  </a:graphic>
                </wp:inline>
              </w:drawing>
            </w:r>
          </w:p>
        </w:tc>
      </w:tr>
    </w:tbl>
    <w:p>
      <w:pPr>
        <w:shd w:val="clear"/>
        <w:spacing w:line="300" w:lineRule="auto"/>
        <w:ind w:firstLine="480" w:firstLineChars="200"/>
        <w:rPr>
          <w:b/>
        </w:rPr>
      </w:pPr>
      <w:r>
        <w:rPr>
          <w:b/>
        </w:rPr>
        <w:t xml:space="preserve">5、装饰装修工程质量保证措施 </w:t>
      </w:r>
    </w:p>
    <w:p>
      <w:pPr>
        <w:pStyle w:val="253"/>
        <w:shd w:val="clear"/>
        <w:spacing w:line="300" w:lineRule="auto"/>
        <w:ind w:firstLine="480" w:firstLineChars="200"/>
      </w:pPr>
      <w:r>
        <w:rPr>
          <w:rFonts w:hint="eastAsia"/>
          <w:b/>
          <w:lang w:eastAsia="zh-CN"/>
        </w:rPr>
        <w:t>（</w:t>
      </w:r>
      <w:r>
        <w:rPr>
          <w:rFonts w:hint="eastAsia"/>
          <w:b/>
          <w:lang w:val="en-US" w:eastAsia="zh-CN"/>
        </w:rPr>
        <w:t>1</w:t>
      </w:r>
      <w:r>
        <w:rPr>
          <w:rFonts w:hint="eastAsia"/>
          <w:b/>
          <w:lang w:eastAsia="zh-CN"/>
        </w:rPr>
        <w:t>）</w:t>
      </w:r>
      <w:r>
        <w:rPr>
          <w:rFonts w:cs="宋体"/>
          <w:b/>
          <w:snapToGrid/>
          <w:kern w:val="0"/>
          <w:szCs w:val="22"/>
          <w:lang w:val="zh-CN" w:bidi="zh-CN"/>
        </w:rPr>
        <w:t>地面工程质量保证措施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2127"/>
        <w:gridCol w:w="6661"/>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项目</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控制重点</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实施措施</w:t>
            </w:r>
          </w:p>
        </w:tc>
      </w:tr>
      <w:tr>
        <w:trPr>
          <w:trHeight w:val="0" w:hRule="atLeast"/>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地砖</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材料</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1、地砖在铺砌前应浸水湿润，阴干或擦干后备用。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2、地砖在铺砌前，应先对色，拼花并编号。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面层平整度</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应将相连房间分隔线连接起来，并弹出楼、地面标高线。放线后，应先铺若干条干线作为基准，起标筋作用。 </w:t>
            </w:r>
          </w:p>
        </w:tc>
      </w:tr>
      <w:tr>
        <w:trPr>
          <w:trHeight w:val="0" w:hRule="atLeast"/>
          <w:jc w:val="center"/>
        </w:trPr>
        <w:tc>
          <w:tcPr>
            <w:tcW w:w="994"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2127"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both"/>
              <w:textAlignment w:val="auto"/>
              <w:rPr>
                <w:rFonts w:hint="eastAsia" w:eastAsia="宋体"/>
                <w:sz w:val="21"/>
                <w:szCs w:val="21"/>
                <w:lang w:eastAsia="zh-CN"/>
              </w:rPr>
            </w:pPr>
            <w:r>
              <w:rPr>
                <w:spacing w:val="-3"/>
                <w:sz w:val="21"/>
                <w:szCs w:val="21"/>
              </w:rPr>
              <w:t>有柱子的地方，先铺砌柱子与柱子中间部分，然后向两边展开</w:t>
            </w:r>
            <w:r>
              <w:rPr>
                <w:sz w:val="21"/>
                <w:szCs w:val="21"/>
              </w:rPr>
              <w:t xml:space="preserve"> </w:t>
            </w:r>
            <w:r>
              <w:rPr>
                <w:rFonts w:hint="eastAsia"/>
                <w:sz w:val="21"/>
                <w:szCs w:val="21"/>
                <w:lang w:eastAsia="zh-CN"/>
              </w:rPr>
              <w:t>。</w:t>
            </w:r>
          </w:p>
        </w:tc>
      </w:tr>
      <w:tr>
        <w:trPr>
          <w:trHeight w:val="0" w:hRule="atLeast"/>
          <w:jc w:val="center"/>
        </w:trPr>
        <w:tc>
          <w:tcPr>
            <w:tcW w:w="994"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2127"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地砖要四脚同时下落，随时找平找直，如发现空隙应将板材翻起补实。 铺砌完后，其表面应及时进行养护，待结合层（含灌缝）的水泥浆达到强度后，方能开展后续保护措施作业。 </w:t>
            </w:r>
          </w:p>
        </w:tc>
      </w:tr>
    </w:tbl>
    <w:p>
      <w:pPr>
        <w:pStyle w:val="253"/>
        <w:shd w:val="clear"/>
        <w:spacing w:line="300" w:lineRule="auto"/>
        <w:ind w:firstLine="480" w:firstLineChars="200"/>
      </w:pPr>
      <w:r>
        <w:rPr>
          <w:rFonts w:hint="eastAsia"/>
          <w:b/>
          <w:lang w:eastAsia="zh-CN"/>
        </w:rPr>
        <w:t>（</w:t>
      </w:r>
      <w:r>
        <w:rPr>
          <w:rFonts w:hint="eastAsia"/>
          <w:b/>
          <w:lang w:val="en-US" w:eastAsia="zh-CN"/>
        </w:rPr>
        <w:t>2</w:t>
      </w:r>
      <w:r>
        <w:rPr>
          <w:rFonts w:hint="eastAsia"/>
          <w:b/>
          <w:lang w:eastAsia="zh-CN"/>
        </w:rPr>
        <w:t>）</w:t>
      </w:r>
      <w:r>
        <w:rPr>
          <w:b/>
        </w:rPr>
        <w:t>吊顶工程质量保证措施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2127"/>
        <w:gridCol w:w="6661"/>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项目</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控制重点</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b/>
                <w:sz w:val="21"/>
                <w:szCs w:val="21"/>
              </w:rPr>
            </w:pPr>
            <w:r>
              <w:rPr>
                <w:b/>
                <w:sz w:val="21"/>
                <w:szCs w:val="21"/>
              </w:rPr>
              <w:t>实施措施</w:t>
            </w:r>
          </w:p>
        </w:tc>
      </w:tr>
      <w:tr>
        <w:trPr>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面层</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平整度</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pacing w:val="-3"/>
                <w:sz w:val="21"/>
                <w:szCs w:val="21"/>
              </w:rPr>
              <w:t>基准点和标高要准确，吊顶面水平的轴线尽量拉通直线，中间</w:t>
            </w:r>
            <w:r>
              <w:rPr>
                <w:sz w:val="21"/>
                <w:szCs w:val="21"/>
              </w:rPr>
              <w:t xml:space="preserve">要拉平线起拱，跨度大的吊顶，中间位置设标高控制点。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pacing w:val="-3"/>
                <w:sz w:val="21"/>
                <w:szCs w:val="21"/>
              </w:rPr>
              <w:t>吊点</w:t>
            </w:r>
            <w:r>
              <w:rPr>
                <w:rFonts w:hint="eastAsia"/>
                <w:spacing w:val="-3"/>
                <w:sz w:val="21"/>
                <w:szCs w:val="21"/>
                <w:lang w:eastAsia="zh-CN"/>
              </w:rPr>
              <w:t>分布</w:t>
            </w:r>
            <w:r>
              <w:rPr>
                <w:spacing w:val="-3"/>
                <w:sz w:val="21"/>
                <w:szCs w:val="21"/>
              </w:rPr>
              <w:t>应均匀，在龙骨的接口，重载部位增加吊点，龙骨接</w:t>
            </w:r>
            <w:r>
              <w:rPr>
                <w:sz w:val="21"/>
                <w:szCs w:val="21"/>
              </w:rPr>
              <w:t xml:space="preserve">头，吊挂处应加固，避免在龙骨上悬挂大于3Kg的重型灯具及其他重型设备。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pacing w:val="-3"/>
                <w:sz w:val="21"/>
                <w:szCs w:val="21"/>
              </w:rPr>
              <w:t>严格按工艺方法的要求安装饰面板，安装时不可生硬用力，一</w:t>
            </w:r>
            <w:r>
              <w:rPr>
                <w:sz w:val="21"/>
                <w:szCs w:val="21"/>
              </w:rPr>
              <w:t xml:space="preserve">边安装一边检查平整度。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线条走向</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坚决剔除不合格材料，若要校正，应在夹具上进行。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pacing w:val="-3"/>
                <w:sz w:val="21"/>
                <w:szCs w:val="21"/>
              </w:rPr>
              <w:t xml:space="preserve">按龙骨分格位置拉出龙骨平直的控制线，从墙边设置饰面条板与板缝的平直控制基准线，且板条安装应从基准线位置进行。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
                <w:szCs w:val="2"/>
              </w:rPr>
            </w:pP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sz w:val="21"/>
                <w:szCs w:val="21"/>
              </w:rPr>
            </w:pPr>
            <w:r>
              <w:rPr>
                <w:sz w:val="21"/>
                <w:szCs w:val="21"/>
              </w:rPr>
              <w:t>吊顶面与设备处理</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pacing w:val="-3"/>
                <w:sz w:val="21"/>
                <w:szCs w:val="21"/>
              </w:rPr>
              <w:t>总的要求是“不破坏吊顶结构，不破坏顶面完整性，与吊顶面</w:t>
            </w:r>
            <w:r>
              <w:rPr>
                <w:sz w:val="21"/>
                <w:szCs w:val="21"/>
              </w:rPr>
              <w:t xml:space="preserve">衔接平整，交界处严密”。 </w:t>
            </w:r>
          </w:p>
        </w:tc>
      </w:tr>
      <w:tr>
        <w:trPr>
          <w:jc w:val="center"/>
        </w:trPr>
        <w:tc>
          <w:tcPr>
            <w:tcW w:w="994"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2127" w:type="dxa"/>
            <w:vMerge w:val="continue"/>
            <w:shd w:val="clear" w:color="auto" w:fill="auto"/>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textAlignment w:val="auto"/>
              <w:rPr>
                <w:sz w:val="21"/>
                <w:szCs w:val="21"/>
              </w:rPr>
            </w:pPr>
            <w:r>
              <w:rPr>
                <w:sz w:val="21"/>
                <w:szCs w:val="21"/>
              </w:rPr>
              <w:t xml:space="preserve">面板安装必须在吊顶内安装等一切工序全部验收后进行。 </w:t>
            </w:r>
          </w:p>
        </w:tc>
      </w:tr>
    </w:tbl>
    <w:p>
      <w:pPr>
        <w:pStyle w:val="253"/>
        <w:shd w:val="clear"/>
        <w:spacing w:line="300" w:lineRule="auto"/>
        <w:ind w:firstLine="480" w:firstLineChars="200"/>
        <w:rPr>
          <w:b/>
          <w:bCs/>
        </w:rPr>
      </w:pPr>
      <w:r>
        <w:rPr>
          <w:rFonts w:hint="eastAsia"/>
          <w:b/>
          <w:bCs/>
          <w:lang w:eastAsia="zh-CN"/>
        </w:rPr>
        <w:t>（</w:t>
      </w:r>
      <w:r>
        <w:rPr>
          <w:rFonts w:hint="eastAsia"/>
          <w:b/>
          <w:bCs/>
          <w:lang w:val="en-US" w:eastAsia="zh-CN"/>
        </w:rPr>
        <w:t>3</w:t>
      </w:r>
      <w:r>
        <w:rPr>
          <w:rFonts w:hint="eastAsia"/>
          <w:b/>
          <w:bCs/>
          <w:lang w:eastAsia="zh-CN"/>
        </w:rPr>
        <w:t>）</w:t>
      </w:r>
      <w:r>
        <w:rPr>
          <w:b/>
          <w:bCs/>
        </w:rPr>
        <w:t>墙面工程质量保证措施</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2127"/>
        <w:gridCol w:w="6661"/>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项目</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控制重点</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b/>
                <w:sz w:val="21"/>
                <w:szCs w:val="21"/>
              </w:rPr>
            </w:pPr>
            <w:r>
              <w:rPr>
                <w:b/>
                <w:sz w:val="21"/>
                <w:szCs w:val="21"/>
              </w:rPr>
              <w:t>实施措施</w:t>
            </w:r>
          </w:p>
        </w:tc>
      </w:tr>
      <w:tr>
        <w:trPr>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面砖</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平整度、垂直度</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基层抹灰应按要求吊垂直、套放、找规矩、贴灰饼，面层贴标准点、分段分格弹线，带线铺贴。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墙柱拐角、墙柱面与地面砖应对缝整齐。 </w:t>
            </w:r>
          </w:p>
        </w:tc>
      </w:tr>
      <w:tr>
        <w:trPr>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pacing w:val="-1"/>
                <w:sz w:val="21"/>
                <w:szCs w:val="21"/>
              </w:rPr>
              <w:t>乳胶漆</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基层处理</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1、墙体完全干透是基本条件，一般应放置10天以上。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2、平整度不好或起壳墙面可满批白水泥净浆修补， 墙面必须平整，刮腻子最少应两遍，每刮一遍都认真检查表面的平整度和阴阳角的顺直。腻子刮完，检查合格再用砂纸磨平磨光。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
                <w:szCs w:val="2"/>
              </w:rPr>
            </w:pP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涂刷</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涂刷时应连续迅速操作，一次刷完，刷涂时应均匀不能有漏刷，流附等现象，涂刷一遍，打磨一遍，一般应两遍以上，后刷涂要等前遍干燥后进行。 </w:t>
            </w:r>
          </w:p>
        </w:tc>
      </w:tr>
      <w:tr>
        <w:trPr>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涂料</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材料</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涂料如过稠可用适量清水调稀（加水不得超过涂料量的 10%）并充分均匀。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
                <w:szCs w:val="2"/>
              </w:rPr>
            </w:pP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基层</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墙面含水率低于10%，PH小于10，基层干燥后，打磨平整。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扫除浮灰后用FD基层封底漆涂饰一遍，干燥后再刷涂料。 </w:t>
            </w:r>
          </w:p>
        </w:tc>
      </w:tr>
      <w:tr>
        <w:trPr>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
                <w:szCs w:val="2"/>
              </w:rPr>
            </w:pP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z w:val="21"/>
                <w:szCs w:val="21"/>
              </w:rPr>
              <w:t>涂刷</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textAlignment w:val="auto"/>
              <w:rPr>
                <w:sz w:val="21"/>
                <w:szCs w:val="21"/>
              </w:rPr>
            </w:pPr>
            <w:r>
              <w:rPr>
                <w:sz w:val="21"/>
                <w:szCs w:val="21"/>
              </w:rPr>
              <w:t xml:space="preserve">均匀施工两道。每道之间间隔一般为 2 小时。 </w:t>
            </w:r>
          </w:p>
        </w:tc>
      </w:tr>
      <w:tr>
        <w:trPr>
          <w:trHeight w:val="3942"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spacing w:val="-1"/>
                <w:sz w:val="21"/>
                <w:szCs w:val="21"/>
              </w:rPr>
              <w:t>效果图</w:t>
            </w:r>
          </w:p>
        </w:tc>
        <w:tc>
          <w:tcPr>
            <w:tcW w:w="8788" w:type="dxa"/>
            <w:gridSpan w:val="2"/>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24" w:leftChars="10" w:right="57"/>
              <w:jc w:val="center"/>
              <w:textAlignment w:val="auto"/>
              <w:rPr>
                <w:sz w:val="21"/>
                <w:szCs w:val="21"/>
              </w:rPr>
            </w:pPr>
            <w:r>
              <w:rPr>
                <w:position w:val="1"/>
                <w:sz w:val="21"/>
                <w:szCs w:val="21"/>
              </w:rPr>
              <w:drawing>
                <wp:inline distT="0" distB="0" distL="0" distR="0">
                  <wp:extent cx="5142230" cy="2400300"/>
                  <wp:effectExtent l="0" t="0" r="1270" b="0"/>
                  <wp:docPr id="505" name="image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229.jpeg"/>
                          <pic:cNvPicPr>
                            <a:picLocks noChangeAspect="1"/>
                          </pic:cNvPicPr>
                        </pic:nvPicPr>
                        <pic:blipFill>
                          <a:blip r:embed="rId85" cstate="print"/>
                          <a:stretch>
                            <a:fillRect/>
                          </a:stretch>
                        </pic:blipFill>
                        <pic:spPr>
                          <a:xfrm>
                            <a:off x="0" y="0"/>
                            <a:ext cx="5142230" cy="2400300"/>
                          </a:xfrm>
                          <a:prstGeom prst="rect">
                            <a:avLst/>
                          </a:prstGeom>
                        </pic:spPr>
                      </pic:pic>
                    </a:graphicData>
                  </a:graphic>
                </wp:inline>
              </w:drawing>
            </w:r>
          </w:p>
        </w:tc>
      </w:tr>
    </w:tbl>
    <w:p>
      <w:pPr>
        <w:pStyle w:val="253"/>
        <w:shd w:val="clear"/>
        <w:spacing w:line="300" w:lineRule="auto"/>
        <w:ind w:firstLine="480" w:firstLineChars="200"/>
        <w:rPr>
          <w:b/>
          <w:bCs/>
        </w:rPr>
      </w:pPr>
      <w:r>
        <w:rPr>
          <w:b/>
          <w:bCs/>
        </w:rPr>
        <w:t>6、机电工程质量保证措施</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94"/>
        <w:gridCol w:w="2127"/>
        <w:gridCol w:w="6661"/>
      </w:tblGrid>
      <w:tr>
        <w:trPr>
          <w:trHeight w:val="0" w:hRule="atLeast"/>
          <w:tblHeader/>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b/>
                <w:sz w:val="21"/>
                <w:szCs w:val="21"/>
              </w:rPr>
            </w:pPr>
            <w:r>
              <w:rPr>
                <w:b/>
                <w:sz w:val="21"/>
                <w:szCs w:val="21"/>
              </w:rPr>
              <w:t>序号</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b/>
                <w:sz w:val="21"/>
                <w:szCs w:val="21"/>
              </w:rPr>
            </w:pPr>
            <w:r>
              <w:rPr>
                <w:b/>
                <w:sz w:val="21"/>
                <w:szCs w:val="21"/>
              </w:rPr>
              <w:t>控制重点</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b/>
                <w:sz w:val="21"/>
                <w:szCs w:val="21"/>
              </w:rPr>
            </w:pPr>
            <w:r>
              <w:rPr>
                <w:b/>
                <w:sz w:val="21"/>
                <w:szCs w:val="21"/>
              </w:rPr>
              <w:t>实施措施</w:t>
            </w:r>
          </w:p>
        </w:tc>
      </w:tr>
      <w:tr>
        <w:trPr>
          <w:trHeight w:val="0" w:hRule="atLeast"/>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1</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pacing w:val="-1"/>
                <w:sz w:val="21"/>
                <w:szCs w:val="21"/>
              </w:rPr>
              <w:t xml:space="preserve">强、弱电工程 </w:t>
            </w:r>
            <w:r>
              <w:rPr>
                <w:spacing w:val="-3"/>
                <w:sz w:val="21"/>
                <w:szCs w:val="21"/>
              </w:rPr>
              <w:t>过程控制</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强、弱电桥架安装阶段重点控制安装的接头接缝处的</w:t>
            </w:r>
            <w:r>
              <w:rPr>
                <w:rFonts w:hint="eastAsia"/>
                <w:sz w:val="21"/>
                <w:szCs w:val="21"/>
                <w:lang w:eastAsia="zh-CN"/>
              </w:rPr>
              <w:t>平整度</w:t>
            </w:r>
            <w:r>
              <w:rPr>
                <w:sz w:val="21"/>
                <w:szCs w:val="21"/>
              </w:rPr>
              <w:t xml:space="preserve">，接地跨接符合规范线槽全长不少于两点与接地干线相接。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pacing w:val="-3"/>
                <w:sz w:val="21"/>
                <w:szCs w:val="21"/>
              </w:rPr>
              <w:t>强、弱电设备的安装阶段控制安装前的准备工作，如基础及埋件已具备，有可行的吊装方案，设备安装场地具备条件等。控制设备的安装时间，既可保证设备在适当的时间内安装，不影响总体的进度，又要安装后便于成品保护。设备具体安装由专</w:t>
            </w:r>
            <w:r>
              <w:rPr>
                <w:sz w:val="21"/>
                <w:szCs w:val="21"/>
              </w:rPr>
              <w:t xml:space="preserve">业工程师现场监控，保证设备安全可靠安装。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 xml:space="preserve">电线、电缆敷设阶段检查线径、型号、规格必须满足图纸要求。电线的敷设在吊顶之前进行。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 xml:space="preserve">电气设备调试阶段控制调试方案报批，核查现场电源已到位，核查排水已畅通。召开专业工程师协调会，督促调试的时间按计划实施。 </w:t>
            </w:r>
          </w:p>
        </w:tc>
      </w:tr>
      <w:tr>
        <w:trPr>
          <w:trHeight w:val="0" w:hRule="atLeast"/>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2</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给排水、消防通风空调工程的过程控制</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 xml:space="preserve">风管安装的支吊架间距符合设计要求，风管水平度≤3mm/m。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成排管道或同一房间内的立管管卡和阀门等的安装</w:t>
            </w:r>
            <w:r>
              <w:rPr>
                <w:rFonts w:hint="eastAsia"/>
                <w:sz w:val="21"/>
                <w:szCs w:val="21"/>
                <w:lang w:val="en-US" w:eastAsia="zh-CN"/>
              </w:rPr>
              <w:t>高</w:t>
            </w:r>
            <w:r>
              <w:rPr>
                <w:sz w:val="21"/>
                <w:szCs w:val="21"/>
              </w:rPr>
              <w:t xml:space="preserve">度保持一致。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阀门安装前须</w:t>
            </w:r>
            <w:r>
              <w:rPr>
                <w:rFonts w:hint="eastAsia"/>
                <w:sz w:val="21"/>
                <w:szCs w:val="21"/>
                <w:lang w:eastAsia="zh-CN"/>
              </w:rPr>
              <w:t>做</w:t>
            </w:r>
            <w:r>
              <w:rPr>
                <w:sz w:val="21"/>
                <w:szCs w:val="21"/>
              </w:rPr>
              <w:t xml:space="preserve">耐压强度试验，每批抽检10%，主干系统阀门逐个进行试压，合格后方可安装。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sz w:val="21"/>
                <w:szCs w:val="21"/>
              </w:rPr>
            </w:pPr>
            <w:r>
              <w:rPr>
                <w:sz w:val="21"/>
                <w:szCs w:val="21"/>
              </w:rPr>
              <w:t xml:space="preserve">检查水管止回阀安装必须保证介质流向同标示方向一致。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管道试压严格按审批后的施工方案进行，排水管做闭水试验。气体消防管道安装后进行气压试验。 </w:t>
            </w:r>
          </w:p>
        </w:tc>
      </w:tr>
      <w:tr>
        <w:trPr>
          <w:trHeight w:val="0" w:hRule="atLeast"/>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3</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水泵、风机、空调设备安装阶段</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rFonts w:hint="eastAsia" w:eastAsia="宋体"/>
                <w:sz w:val="21"/>
                <w:szCs w:val="21"/>
                <w:lang w:eastAsia="zh-CN"/>
              </w:rPr>
            </w:pPr>
            <w:r>
              <w:rPr>
                <w:sz w:val="21"/>
                <w:szCs w:val="21"/>
              </w:rPr>
              <w:t>督促专业分包商设备进场，按拟定的设备安装施工方案进行，并严格检查各重点工序、质量进度保证措施</w:t>
            </w:r>
            <w:r>
              <w:rPr>
                <w:rFonts w:hint="eastAsia"/>
                <w:sz w:val="21"/>
                <w:szCs w:val="21"/>
                <w:lang w:eastAsia="zh-CN"/>
              </w:rPr>
              <w:t>。</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要求设备同管路系统接驳安装按图及规范要求采用软连接，消防水泵的吸入口须向上坡，设备不得承重管路附件的外力。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设备在安装后调试前，加强设备的保护工作，防止污染。 </w:t>
            </w:r>
          </w:p>
        </w:tc>
      </w:tr>
      <w:tr>
        <w:trPr>
          <w:trHeight w:val="0" w:hRule="atLeast"/>
          <w:jc w:val="center"/>
        </w:trPr>
        <w:tc>
          <w:tcPr>
            <w:tcW w:w="994"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4</w:t>
            </w:r>
          </w:p>
        </w:tc>
        <w:tc>
          <w:tcPr>
            <w:tcW w:w="2127" w:type="dxa"/>
            <w:vMerge w:val="restart"/>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保温工程施工阶段</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pacing w:val="-3"/>
                <w:sz w:val="21"/>
                <w:szCs w:val="21"/>
              </w:rPr>
              <w:t xml:space="preserve">保温工程应在风管、水管、部件及设备质量检查合格后进行。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严格控制进场保温材料的质量。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控制好保温的施工质量，如：保温层紧贴风管、密封、无</w:t>
            </w:r>
            <w:r>
              <w:rPr>
                <w:rFonts w:hint="eastAsia"/>
                <w:sz w:val="21"/>
                <w:szCs w:val="21"/>
                <w:lang w:eastAsia="zh-CN"/>
              </w:rPr>
              <w:t>松弛现象</w:t>
            </w:r>
            <w:r>
              <w:rPr>
                <w:sz w:val="21"/>
                <w:szCs w:val="21"/>
              </w:rPr>
              <w:t>，保温层外表面光滑、平整，保温钉</w:t>
            </w:r>
            <w:r>
              <w:rPr>
                <w:rFonts w:hint="eastAsia"/>
                <w:sz w:val="21"/>
                <w:szCs w:val="21"/>
                <w:lang w:eastAsia="zh-CN"/>
              </w:rPr>
              <w:t>成型</w:t>
            </w:r>
            <w:r>
              <w:rPr>
                <w:sz w:val="21"/>
                <w:szCs w:val="21"/>
              </w:rPr>
              <w:t xml:space="preserve">，美观均匀。保温层必须纵向缝错开，密实、平整。 </w:t>
            </w:r>
          </w:p>
        </w:tc>
      </w:tr>
      <w:tr>
        <w:trPr>
          <w:trHeight w:val="0" w:hRule="atLeast"/>
          <w:jc w:val="center"/>
        </w:trPr>
        <w:tc>
          <w:tcPr>
            <w:tcW w:w="994"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2127" w:type="dxa"/>
            <w:vMerge w:val="continue"/>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
                <w:szCs w:val="2"/>
              </w:rPr>
            </w:pP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pacing w:val="-3"/>
                <w:sz w:val="21"/>
                <w:szCs w:val="21"/>
              </w:rPr>
              <w:t>协调好保温同各专业与装饰间的工序，进行保温成品保护工作</w:t>
            </w:r>
            <w:r>
              <w:rPr>
                <w:rFonts w:hint="eastAsia"/>
                <w:spacing w:val="-3"/>
                <w:sz w:val="21"/>
                <w:szCs w:val="21"/>
                <w:lang w:eastAsia="zh-CN"/>
              </w:rPr>
              <w:t>。</w:t>
            </w:r>
            <w:r>
              <w:rPr>
                <w:sz w:val="21"/>
                <w:szCs w:val="21"/>
              </w:rPr>
              <w:t xml:space="preserve">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5</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电梯工程的过程控制</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检查导轨的垂直度及按照方案实施；轿厢应与室内地平相平，控制误差范围；机房设备安装的时间、位置一定正确；调试合格后请相关部门检验；按规范做试压试验。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6</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室外工程市政</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工程的过程控制</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沟底标高与管沟中心坐标已验收合格；给水管道按设计要求做试压试验；排水管道按设计要求做灌水试验。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7</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变配电工程的</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过程控制</w:t>
            </w:r>
          </w:p>
        </w:tc>
        <w:tc>
          <w:tcPr>
            <w:tcW w:w="6661"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both"/>
              <w:textAlignment w:val="auto"/>
              <w:rPr>
                <w:sz w:val="21"/>
                <w:szCs w:val="21"/>
              </w:rPr>
            </w:pPr>
            <w:r>
              <w:rPr>
                <w:sz w:val="21"/>
                <w:szCs w:val="21"/>
              </w:rPr>
              <w:t xml:space="preserve">土建、装修、防水等全部完成后进行设备安装；吊装方案切实可行，确保设备安全；设备安装符合各行业验收规范。 </w:t>
            </w:r>
          </w:p>
        </w:tc>
      </w:tr>
      <w:tr>
        <w:trPr>
          <w:trHeight w:val="0" w:hRule="atLeast"/>
          <w:jc w:val="center"/>
        </w:trPr>
        <w:tc>
          <w:tcPr>
            <w:tcW w:w="994"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8</w:t>
            </w:r>
          </w:p>
        </w:tc>
        <w:tc>
          <w:tcPr>
            <w:tcW w:w="2127" w:type="dxa"/>
            <w:shd w:val="clear" w:color="auto" w:fill="auto"/>
            <w:vAlign w:val="center"/>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施工案例</w:t>
            </w:r>
          </w:p>
        </w:tc>
        <w:tc>
          <w:tcPr>
            <w:tcW w:w="6661" w:type="dxa"/>
            <w:shd w:val="clear" w:color="auto" w:fill="auto"/>
          </w:tcPr>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textAlignment w:val="auto"/>
              <w:rPr>
                <w:rFonts w:ascii="Times New Roman"/>
                <w:sz w:val="2"/>
                <w:szCs w:val="21"/>
              </w:rPr>
            </w:pP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rFonts w:ascii="Times New Roman"/>
                <w:sz w:val="16"/>
                <w:szCs w:val="21"/>
              </w:rPr>
            </w:pPr>
            <w:r>
              <w:rPr>
                <w:rFonts w:ascii="Times New Roman"/>
                <w:sz w:val="16"/>
                <w:szCs w:val="21"/>
              </w:rPr>
              <w:drawing>
                <wp:inline distT="0" distB="0" distL="0" distR="0">
                  <wp:extent cx="3756025" cy="1188720"/>
                  <wp:effectExtent l="0" t="0" r="15875" b="11430"/>
                  <wp:docPr id="507" name="image2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230.jpeg"/>
                          <pic:cNvPicPr>
                            <a:picLocks noChangeAspect="1"/>
                          </pic:cNvPicPr>
                        </pic:nvPicPr>
                        <pic:blipFill>
                          <a:blip r:embed="rId86" cstate="print"/>
                          <a:stretch>
                            <a:fillRect/>
                          </a:stretch>
                        </pic:blipFill>
                        <pic:spPr>
                          <a:xfrm>
                            <a:off x="0" y="0"/>
                            <a:ext cx="3756659" cy="1188720"/>
                          </a:xfrm>
                          <a:prstGeom prst="rect">
                            <a:avLst/>
                          </a:prstGeom>
                        </pic:spPr>
                      </pic:pic>
                    </a:graphicData>
                  </a:graphic>
                </wp:inline>
              </w:drawing>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 xml:space="preserve">管道保温拐弯处随建筑弯曲呈弧形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rFonts w:ascii="Times New Roman"/>
                <w:sz w:val="16"/>
                <w:szCs w:val="21"/>
              </w:rPr>
            </w:pPr>
            <w:r>
              <w:rPr>
                <w:rFonts w:ascii="Times New Roman"/>
                <w:sz w:val="16"/>
                <w:szCs w:val="21"/>
              </w:rPr>
              <w:drawing>
                <wp:inline distT="0" distB="0" distL="0" distR="0">
                  <wp:extent cx="3596640" cy="1325880"/>
                  <wp:effectExtent l="0" t="0" r="3810" b="7620"/>
                  <wp:docPr id="509" name="image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231.jpeg"/>
                          <pic:cNvPicPr>
                            <a:picLocks noChangeAspect="1"/>
                          </pic:cNvPicPr>
                        </pic:nvPicPr>
                        <pic:blipFill>
                          <a:blip r:embed="rId87" cstate="print"/>
                          <a:stretch>
                            <a:fillRect/>
                          </a:stretch>
                        </pic:blipFill>
                        <pic:spPr>
                          <a:xfrm>
                            <a:off x="0" y="0"/>
                            <a:ext cx="3596640" cy="1325880"/>
                          </a:xfrm>
                          <a:prstGeom prst="rect">
                            <a:avLst/>
                          </a:prstGeom>
                        </pic:spPr>
                      </pic:pic>
                    </a:graphicData>
                  </a:graphic>
                </wp:inline>
              </w:drawing>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t xml:space="preserve">水泵安装排列整齐 </w:t>
            </w:r>
          </w:p>
          <w:p>
            <w:pPr>
              <w:pStyle w:val="270"/>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00" w:lineRule="auto"/>
              <w:ind w:left="0" w:right="0" w:firstLine="0"/>
              <w:jc w:val="center"/>
              <w:textAlignment w:val="auto"/>
              <w:rPr>
                <w:sz w:val="21"/>
                <w:szCs w:val="21"/>
              </w:rPr>
            </w:pPr>
            <w:r>
              <w:rPr>
                <w:sz w:val="21"/>
                <w:szCs w:val="21"/>
              </w:rPr>
              <w:drawing>
                <wp:inline distT="0" distB="0" distL="0" distR="0">
                  <wp:extent cx="3619500" cy="1135380"/>
                  <wp:effectExtent l="0" t="0" r="0" b="7620"/>
                  <wp:docPr id="511" name="image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232.jpeg"/>
                          <pic:cNvPicPr>
                            <a:picLocks noChangeAspect="1"/>
                          </pic:cNvPicPr>
                        </pic:nvPicPr>
                        <pic:blipFill>
                          <a:blip r:embed="rId88" cstate="print"/>
                          <a:stretch>
                            <a:fillRect/>
                          </a:stretch>
                        </pic:blipFill>
                        <pic:spPr>
                          <a:xfrm>
                            <a:off x="0" y="0"/>
                            <a:ext cx="3619500" cy="1135380"/>
                          </a:xfrm>
                          <a:prstGeom prst="rect">
                            <a:avLst/>
                          </a:prstGeom>
                        </pic:spPr>
                      </pic:pic>
                    </a:graphicData>
                  </a:graphic>
                </wp:inline>
              </w:drawing>
            </w:r>
            <w:r>
              <w:rPr>
                <w:sz w:val="21"/>
                <w:szCs w:val="21"/>
              </w:rPr>
              <w:t xml:space="preserve"> </w:t>
            </w:r>
          </w:p>
        </w:tc>
      </w:tr>
    </w:tbl>
    <w:p>
      <w:pPr>
        <w:pStyle w:val="4"/>
        <w:shd w:val="clear"/>
        <w:spacing w:before="156" w:after="156"/>
      </w:pPr>
      <w:bookmarkStart w:id="84" w:name="_Toc16513554"/>
      <w:bookmarkStart w:id="85" w:name="_Toc16512865"/>
      <w:bookmarkStart w:id="86" w:name="_Toc20679"/>
      <w:bookmarkStart w:id="87" w:name="_Toc24276"/>
      <w:bookmarkStart w:id="88" w:name="_Toc16513444"/>
      <w:bookmarkStart w:id="89" w:name="_Toc11200"/>
      <w:r>
        <w:rPr>
          <w:rFonts w:hint="eastAsia"/>
        </w:rPr>
        <w:t>第</w:t>
      </w:r>
      <w:r>
        <w:rPr>
          <w:rFonts w:hint="eastAsia"/>
          <w:lang w:val="en-US" w:eastAsia="zh-CN"/>
        </w:rPr>
        <w:t>五</w:t>
      </w:r>
      <w:r>
        <w:rPr>
          <w:rFonts w:hint="eastAsia"/>
        </w:rPr>
        <w:t>节  常见质量问题分析及防治</w:t>
      </w:r>
      <w:bookmarkEnd w:id="84"/>
      <w:bookmarkEnd w:id="85"/>
      <w:bookmarkEnd w:id="86"/>
      <w:bookmarkEnd w:id="87"/>
      <w:bookmarkEnd w:id="88"/>
      <w:bookmarkEnd w:id="89"/>
    </w:p>
    <w:p>
      <w:pPr>
        <w:pStyle w:val="5"/>
        <w:numPr>
          <w:ilvl w:val="0"/>
          <w:numId w:val="0"/>
        </w:numPr>
        <w:shd w:val="clear"/>
        <w:bidi w:val="0"/>
        <w:ind w:left="0" w:leftChars="0" w:firstLine="480" w:firstLineChars="0"/>
        <w:rPr>
          <w:rFonts w:hint="eastAsia"/>
        </w:rPr>
      </w:pPr>
      <w:bookmarkStart w:id="90" w:name="_Toc501021785"/>
      <w:bookmarkStart w:id="91" w:name="_Toc501021877"/>
      <w:bookmarkStart w:id="92" w:name="_Toc501016834"/>
      <w:bookmarkStart w:id="93" w:name="_Toc498248297"/>
      <w:r>
        <w:rPr>
          <w:rFonts w:hint="eastAsia" w:ascii="Times New Roman" w:hAnsi="Times New Roman" w:eastAsia="宋体" w:cs="Times New Roman"/>
          <w:b/>
          <w:bCs/>
          <w:kern w:val="2"/>
          <w:sz w:val="24"/>
          <w:szCs w:val="32"/>
          <w:lang w:val="en-US" w:eastAsia="zh-CN" w:bidi="ar-SA"/>
        </w:rPr>
        <w:t>一、</w:t>
      </w:r>
      <w:r>
        <w:rPr>
          <w:rFonts w:hint="eastAsia"/>
        </w:rPr>
        <w:t>质量通病的防治</w:t>
      </w:r>
    </w:p>
    <w:p>
      <w:pPr>
        <w:shd w:val="clear"/>
        <w:kinsoku/>
        <w:wordWrap/>
        <w:bidi w:val="0"/>
        <w:snapToGrid w:val="0"/>
        <w:spacing w:line="300" w:lineRule="auto"/>
        <w:ind w:firstLine="560"/>
        <w:rPr>
          <w:rFonts w:hint="eastAsia" w:ascii="宋体" w:hAnsi="宋体" w:eastAsia="宋体" w:cs="宋体"/>
          <w:sz w:val="24"/>
          <w:szCs w:val="24"/>
        </w:rPr>
      </w:pPr>
      <w:r>
        <w:rPr>
          <w:rFonts w:hint="eastAsia" w:ascii="宋体" w:hAnsi="宋体" w:eastAsia="宋体" w:cs="宋体"/>
          <w:sz w:val="24"/>
          <w:szCs w:val="24"/>
        </w:rPr>
        <w:t>本工程性质为</w:t>
      </w:r>
      <w:r>
        <w:rPr>
          <w:rFonts w:hint="eastAsia" w:cs="宋体"/>
          <w:sz w:val="24"/>
          <w:szCs w:val="24"/>
          <w:lang w:val="en-US" w:eastAsia="zh-CN"/>
        </w:rPr>
        <w:t>厂房</w:t>
      </w:r>
      <w:r>
        <w:rPr>
          <w:rFonts w:hint="eastAsia" w:ascii="宋体" w:hAnsi="宋体" w:eastAsia="宋体" w:cs="宋体"/>
          <w:sz w:val="24"/>
          <w:szCs w:val="24"/>
        </w:rPr>
        <w:t>工程，工程质量的好坏直接关系</w:t>
      </w:r>
      <w:r>
        <w:rPr>
          <w:rFonts w:hint="eastAsia" w:ascii="宋体" w:hAnsi="宋体" w:eastAsia="宋体" w:cs="宋体"/>
          <w:sz w:val="24"/>
          <w:szCs w:val="24"/>
          <w:lang w:eastAsia="zh-CN"/>
        </w:rPr>
        <w:t>业主</w:t>
      </w:r>
      <w:r>
        <w:rPr>
          <w:rFonts w:hint="eastAsia" w:ascii="宋体" w:hAnsi="宋体" w:eastAsia="宋体" w:cs="宋体"/>
          <w:sz w:val="24"/>
          <w:szCs w:val="24"/>
        </w:rPr>
        <w:t>的切身利益，所以质量通病的防治就显得尤为重要。</w:t>
      </w:r>
    </w:p>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（一）</w:t>
      </w:r>
      <w:r>
        <w:rPr>
          <w:rFonts w:hint="eastAsia"/>
        </w:rPr>
        <w:t>混凝土裂缝、渗水</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防水混凝土掺入的外加剂掺合料应按规范复试符合要求后使用，其掺量应经试验确定。</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防水混凝土结构内部设置的各种钢筋或绑扎的低碳钢丝不应接触模板。固定模板而穿过的螺栓应加焊止水环。拆模后，将留下的凹槽封堵密实，并在迎水面涂刷防水涂料等防水材料。</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混凝土采用分层浇筑，泵送混凝土每层厚度不宜大于500mm，采用插入式振动器分层捣固，板面应用平板振动器振捣，排除泌水，进行二次收浆压实。</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防水混凝土水平构件表面宜覆盖塑料薄膜或双层草袋并浇水养护，竖向构件宜采用喷涂养护液进行养护，养护时间不少于14d。</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（二）</w:t>
      </w:r>
      <w:r>
        <w:rPr>
          <w:rFonts w:hint="eastAsia"/>
        </w:rPr>
        <w:t>混凝土后浇带施工缝渗漏</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墙体不应留垂直施工缝。有防水要求墙体的水平施工缝可留在高出板面不小于300mm、梁底以下300mm以内墙体处，并应设置止水带。</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后浇带施工缝浇筑混凝土前，应凿除松散混凝土，并将其表面浮浆和杂物清除。浇筑混凝土时，先浇水湿润，排除积水后及时浇灌混凝土并振捣密实。</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后浇带混凝土应保湿养护14d。</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（三）</w:t>
      </w:r>
      <w:r>
        <w:rPr>
          <w:rFonts w:hint="eastAsia"/>
        </w:rPr>
        <w:t>砌体裂缝</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现浇钢筋混凝土板带应一次浇筑完成。</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砌体结构砌筑完成后不应少于28d再抹灰。</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每天砌筑高度宜控制在1.8m以下，并应采取严格的防风、防雨措施。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砌体应按设计要求与钢筋混凝土墙柱可靠连接，并优先采用拉结筋连接。拉结筋不得弯折使用，末端应有90。弯钩；设置位置应与砖砌体灰缝相吻合，砌块砌体应在上表面开设凹槽，置入钢筋后用粘结材料填实至凹槽的上口平。拉结筋宜预埋，植筋时应进行拉拔试验。当砌块砌体采用专用连接件时，宜采用金属锚栓与钢筋混凝土墙柱可靠连接。</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填充墙砌至接近梁底、板底时，砌块墙应留有20-30mm的空隙，并留置不少于7d的间歇期，用发泡剂等柔性材料填嵌密实；砖填充墙应留有150mm的空隙，并留置不少于7d的间歇期，可采用斜砖补砌，角度宜为60</w:t>
            </w:r>
            <w:r>
              <w:rPr>
                <w:rFonts w:hint="eastAsia" w:ascii="宋体" w:hAnsi="宋体" w:eastAsia="宋体" w:cs="宋体"/>
                <w:sz w:val="21"/>
                <w:szCs w:val="21"/>
                <w:lang w:val="en-US" w:eastAsia="zh-CN"/>
              </w:rPr>
              <w:t>°，</w:t>
            </w:r>
            <w:r>
              <w:rPr>
                <w:rFonts w:hint="eastAsia" w:ascii="宋体" w:hAnsi="宋体" w:eastAsia="宋体" w:cs="宋体"/>
                <w:sz w:val="21"/>
                <w:szCs w:val="21"/>
              </w:rPr>
              <w:t>并沿墙方向对称塞砌，两侧和中部三角空隙应用干硬性膨胀砂浆填塞、补砌紧密。坡屋顶卧梁下口的砌体应砌成踏步形，空隙部位按上述方法补砌。</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当门窗洞上口至梁底距离小于200mm时，门窗过梁应与结构梁整浇。</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砌体墙开凿应在砂浆强度达到设计要求后采用机械切割，开槽深度不宜超过墙厚的1/3，导管敷设后，应采用细石混凝土或干硬性砂浆填封密实牢固。</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（四）</w:t>
      </w:r>
      <w:r>
        <w:rPr>
          <w:rFonts w:hint="eastAsia"/>
        </w:rPr>
        <w:t>屋面防水层渗漏</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不应在雨天、雪天、大雾、大风天气和环境平均温度低于5℃时施工。</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基层应清理干净，表面干燥后均匀涂刷基层处理剂，涂刷按先细部后大面的顺序进行；基层处理剂、接缝胶粘剂、密封材料等应与铺贴的防水卷材相容。</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卷材大面积铺贴前，应先做好节点密封处理、附加层和屋面排水较集中部位的细部构造处理。卷材施工时应以屋面最低标高处向上施工；铺贴天沟、檐沟卷材时，宜顺天沟檐沟方向铺贴，从水落口处向分水线方向铺贴，尽量减少搭接。</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上下层卷材铺贴方向应正确，不应相互垂直铺贴。</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相邻两幅卷材的接头相互错开300mm以上。</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屋面各道防水层或隔气层施工时，伸出屋面各管道井、烟道及高出屋面的结构处，均应用柔性防水材料做泛水，高度不应小于250mm。最后一道泛水应用卷材，并用管箍或压条将卷材上口压紧，再用密封材料封口。</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防水涂料涂抹应多遍成活，厚度应符合设计要求。</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女儿墙泛水高度距屋面面层最高处不应小于250mm，泛水宜采用浅色涂料或铝箔</w:t>
            </w:r>
            <w:r>
              <w:rPr>
                <w:rFonts w:hint="eastAsia" w:ascii="宋体" w:hAnsi="宋体" w:cs="宋体"/>
                <w:sz w:val="21"/>
                <w:szCs w:val="21"/>
                <w:lang w:val="en-US" w:eastAsia="zh-CN"/>
              </w:rPr>
              <w:t>作</w:t>
            </w:r>
            <w:r>
              <w:rPr>
                <w:rFonts w:hint="eastAsia" w:ascii="宋体" w:hAnsi="宋体" w:eastAsia="宋体" w:cs="宋体"/>
                <w:sz w:val="21"/>
                <w:szCs w:val="21"/>
              </w:rPr>
              <w:t>保护层。</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女儿墙上应留凹槽，卷材收头应压入槽内并用塑料或金属压条钉压固定，嵌填柔性密封材料封闭。</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（五）</w:t>
      </w:r>
      <w:r>
        <w:rPr>
          <w:rFonts w:hint="eastAsia"/>
        </w:rPr>
        <w:t>楼地面面层起砂、空鼓、裂缝</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浇筑面层混凝土或铺设水泥砂浆前，基层应清理干净并湿润，消除积水；基层处于面干内潮时，应均匀涂刷水泥浆一道。</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水泥砂浆面层铺摊涂抹均匀，随抹随用短杠刮平；混凝土面层浇筑时，应采用辊子滚压，保证面层强度和密实度。</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掌握和控制压光时间，压光次数不少于2遍，分遍压实。</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面层宜按开间设置分格缝。</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面层施工12h后，应进行养护，连续养护时间不应少于7d</w:t>
            </w:r>
            <w:r>
              <w:rPr>
                <w:rFonts w:hint="eastAsia" w:ascii="宋体" w:hAnsi="宋体" w:eastAsia="宋体" w:cs="宋体"/>
                <w:sz w:val="21"/>
                <w:szCs w:val="21"/>
                <w:lang w:eastAsia="zh-CN"/>
              </w:rPr>
              <w:t>；</w:t>
            </w:r>
            <w:r>
              <w:rPr>
                <w:rFonts w:hint="eastAsia" w:ascii="宋体" w:hAnsi="宋体" w:eastAsia="宋体" w:cs="宋体"/>
                <w:sz w:val="21"/>
                <w:szCs w:val="21"/>
              </w:rPr>
              <w:t>当环境温度低于5℃时，应采取防冻施工措施。</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（六）</w:t>
      </w:r>
      <w:r>
        <w:rPr>
          <w:rFonts w:hint="eastAsia"/>
        </w:rPr>
        <w:t>卫生间、厨房楼地面渗漏</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给排水管道穿越楼面处，应预埋止水套管。</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现浇板预留洞口填塞前，应将洞口清洗干净、毛化处理，涂刷水泥浆，用掺入抗裂防渗剂的微膨胀细石混凝土分两次浇筑，第一次浇筑至楼板厚度的2/3处，第二次浇筑楼板厚度的1／3，间隔24h。</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楼地面排水坡度宜为2%，地漏要比周边楼地面低5mm。</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防水层施工前，应先将楼板四周清理干净，阴角处粉成小圆弧。</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防水层及面层施工完毕后，应分别进行24h蓄水试验，蓄水高度为20～30mm。</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（七）</w:t>
      </w:r>
      <w:r>
        <w:rPr>
          <w:rFonts w:hint="eastAsia"/>
        </w:rPr>
        <w:t>内粉刷空鼓、裂缝</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基体修凿平整、清理干净，预留孔洞和预埋件校正准确、牢固，并用1:3水泥砂浆修补。</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混凝土基层应批界面剂，或采用聚合物砂浆毛点等措施进行毛化处理。</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轻质墙体基层表面应涂刷专用界面处理剂。</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墙、柱及门窗洞口的阳角应抹出宽度不小于50mm，高度不低于2m的水泥砂浆护角。</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抹灰前基层应浇水湿润，抹灰多遍成活，每层不大于8mm。</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（八）</w:t>
      </w:r>
      <w:r>
        <w:rPr>
          <w:rFonts w:hint="eastAsia"/>
        </w:rPr>
        <w:t>外粉刷空鼓、裂缝、渗水、脱落</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基体修凿平整、清理干净，预留孔洞和预埋件校正准确、牢固，并用1:3水泥砂浆修补。</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混凝土基层应批界面剂，或采用聚合物砂浆毛点等措施进行毛化处理。</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轻质墙体基层表面应涂刷专用界面处理剂。</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抹灰前基层应浇水湿润，抹灰多遍成活，每层不大于8mm。</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外窗台、腰线、外挑板等部位应粉出不小于5%的排水坡度，且靠墙体根部处应粉成圆角；滴水线宽度宜为20mm，厚度不小于12mm，且应粉成鹰嘴式。</w:t>
            </w:r>
          </w:p>
        </w:tc>
      </w:tr>
    </w:tbl>
    <w:p>
      <w:pPr>
        <w:pStyle w:val="6"/>
        <w:numPr>
          <w:ilvl w:val="0"/>
          <w:numId w:val="0"/>
        </w:numPr>
        <w:shd w:val="clear"/>
        <w:bidi w:val="0"/>
        <w:ind w:left="-160" w:leftChars="0" w:firstLine="420" w:firstLineChars="0"/>
        <w:rPr>
          <w:rFonts w:hint="eastAsia"/>
        </w:rPr>
      </w:pPr>
      <w:r>
        <w:rPr>
          <w:rFonts w:hint="eastAsia" w:ascii="宋体" w:hAnsi="宋体" w:eastAsia="宋体" w:cs="Times New Roman"/>
          <w:b/>
          <w:bCs/>
          <w:color w:val="000000"/>
          <w:kern w:val="0"/>
          <w:sz w:val="24"/>
          <w:szCs w:val="24"/>
          <w:lang w:val="en-US" w:eastAsia="zh-CN" w:bidi="ar-SA"/>
        </w:rPr>
        <w:t>（九）</w:t>
      </w:r>
      <w:r>
        <w:rPr>
          <w:rFonts w:hint="eastAsia"/>
        </w:rPr>
        <w:t>门窗变形、渗漏</w:t>
      </w:r>
    </w:p>
    <w:tbl>
      <w:tblPr>
        <w:tblStyle w:val="54"/>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873"/>
        <w:gridCol w:w="8909"/>
      </w:tblGrid>
      <w:tr>
        <w:trPr>
          <w:trHeight w:val="0" w:hRule="atLeast"/>
          <w:tblHeader/>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门窗框安装固定前，应对预留墙洞尺寸进行复核，外框与墙体间的缝隙宽度应根据饰面材料确定。</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8909"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门窗安装固定点间距不大于500mm，距离转角不超过180mm。不得采用长脚膨胀螺栓穿透型材固定门窗框。</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3</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门窗框与洞口缝隙应清理干净后填充发泡剂，一次成型。</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4</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塑料门窗五金安装时，应设置金属衬板，其厚度不应小于3mm。紧固件安装时，先钻孔，后拧入自攻螺钉。</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门窗框外侧应留5mm宽的打胶槽口。打胶处应清理干净，干燥后应采用中性硅酮密封胶密封。不得在涂料面层上打密封胶。</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rPr>
            </w:pPr>
            <w:r>
              <w:rPr>
                <w:rFonts w:hint="eastAsia" w:ascii="宋体" w:hAnsi="宋体" w:eastAsia="宋体" w:cs="宋体"/>
                <w:sz w:val="21"/>
                <w:szCs w:val="21"/>
                <w:lang w:val="en-US"/>
              </w:rPr>
              <w:t>5</w:t>
            </w:r>
          </w:p>
        </w:tc>
        <w:tc>
          <w:tcPr>
            <w:tcW w:w="8909" w:type="dxa"/>
            <w:shd w:val="clear" w:color="auto" w:fill="auto"/>
            <w:vAlign w:val="center"/>
          </w:tcPr>
          <w:p>
            <w:pPr>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高层住宅中大于等于DN100的塑料管道（CPVC给水管除外）在穿越楼层或防火区域处应按设计要求设置阻火圈。</w:t>
            </w:r>
          </w:p>
        </w:tc>
      </w:tr>
      <w:tr>
        <w:trPr>
          <w:trHeight w:val="0" w:hRule="atLeast"/>
          <w:jc w:val="center"/>
        </w:trPr>
        <w:tc>
          <w:tcPr>
            <w:tcW w:w="873" w:type="dxa"/>
            <w:shd w:val="clear" w:color="auto" w:fill="auto"/>
            <w:vAlign w:val="center"/>
          </w:tcPr>
          <w:p>
            <w:pPr>
              <w:pStyle w:val="270"/>
              <w:keepNext w:val="0"/>
              <w:keepLines w:val="0"/>
              <w:suppressLineNumbers w:val="0"/>
              <w:shd w:val="clear"/>
              <w:kinsoku/>
              <w:wordWrap/>
              <w:bidi w:val="0"/>
              <w:adjustRightInd/>
              <w:snapToGrid w:val="0"/>
              <w:spacing w:before="0" w:beforeAutospacing="0" w:after="0" w:afterAutospacing="0" w:line="30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09" w:type="dxa"/>
            <w:shd w:val="clear" w:color="auto" w:fill="auto"/>
            <w:vAlign w:val="center"/>
          </w:tcPr>
          <w:p>
            <w:pPr>
              <w:keepNext w:val="0"/>
              <w:keepLines w:val="0"/>
              <w:suppressLineNumbers w:val="0"/>
              <w:shd w:val="clear"/>
              <w:tabs>
                <w:tab w:val="left" w:pos="980"/>
              </w:tabs>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排水通气管不得与风管或烟道连接，且应符合下列规定：</w:t>
            </w:r>
          </w:p>
          <w:p>
            <w:pPr>
              <w:keepNext w:val="0"/>
              <w:keepLines w:val="0"/>
              <w:suppressLineNumbers w:val="0"/>
              <w:shd w:val="clear"/>
              <w:tabs>
                <w:tab w:val="left" w:pos="980"/>
              </w:tabs>
              <w:kinsoku/>
              <w:wordWrap/>
              <w:bidi w:val="0"/>
              <w:snapToGrid w:val="0"/>
              <w:spacing w:before="0" w:beforeAutospacing="0" w:after="0" w:afterAutospacing="0" w:line="300" w:lineRule="auto"/>
              <w:ind w:left="0" w:right="0" w:firstLine="560"/>
              <w:rPr>
                <w:rFonts w:hint="eastAsia" w:ascii="宋体" w:hAnsi="宋体" w:eastAsia="宋体" w:cs="宋体"/>
                <w:sz w:val="21"/>
                <w:szCs w:val="21"/>
              </w:rPr>
            </w:pPr>
            <w:r>
              <w:rPr>
                <w:rFonts w:hint="eastAsia" w:ascii="宋体" w:hAnsi="宋体" w:eastAsia="宋体" w:cs="宋体"/>
                <w:sz w:val="21"/>
                <w:szCs w:val="21"/>
              </w:rPr>
              <w:t>通气管高出非上人屋面顶面不应小于300mm。</w:t>
            </w:r>
          </w:p>
          <w:p>
            <w:pPr>
              <w:keepNext w:val="0"/>
              <w:keepLines w:val="0"/>
              <w:suppressLineNumbers w:val="0"/>
              <w:shd w:val="clear"/>
              <w:tabs>
                <w:tab w:val="left" w:pos="980"/>
              </w:tabs>
              <w:kinsoku/>
              <w:wordWrap/>
              <w:bidi w:val="0"/>
              <w:snapToGrid w:val="0"/>
              <w:spacing w:before="0" w:beforeAutospacing="0" w:after="0" w:afterAutospacing="0" w:line="300" w:lineRule="auto"/>
              <w:ind w:left="0" w:right="0" w:firstLine="560"/>
              <w:rPr>
                <w:rFonts w:hint="eastAsia" w:ascii="宋体" w:hAnsi="宋体" w:eastAsia="宋体" w:cs="宋体"/>
                <w:sz w:val="21"/>
                <w:szCs w:val="21"/>
              </w:rPr>
            </w:pPr>
            <w:r>
              <w:rPr>
                <w:rFonts w:hint="eastAsia" w:ascii="宋体" w:hAnsi="宋体" w:eastAsia="宋体" w:cs="宋体"/>
                <w:sz w:val="21"/>
                <w:szCs w:val="21"/>
              </w:rPr>
              <w:t>通气管出口周边4m内有门窗时，高出门窗上口600mm或引向无门窗侧。</w:t>
            </w:r>
          </w:p>
          <w:p>
            <w:pPr>
              <w:keepNext w:val="0"/>
              <w:keepLines w:val="0"/>
              <w:suppressLineNumbers w:val="0"/>
              <w:shd w:val="clear"/>
              <w:tabs>
                <w:tab w:val="left" w:pos="980"/>
              </w:tabs>
              <w:kinsoku/>
              <w:wordWrap/>
              <w:bidi w:val="0"/>
              <w:snapToGrid w:val="0"/>
              <w:spacing w:before="0" w:beforeAutospacing="0" w:after="0" w:afterAutospacing="0" w:line="300" w:lineRule="auto"/>
              <w:ind w:left="0" w:right="0" w:firstLine="560"/>
              <w:rPr>
                <w:rFonts w:hint="eastAsia" w:ascii="宋体" w:hAnsi="宋体" w:eastAsia="宋体" w:cs="宋体"/>
                <w:sz w:val="21"/>
                <w:szCs w:val="21"/>
              </w:rPr>
            </w:pPr>
            <w:r>
              <w:rPr>
                <w:rFonts w:hint="eastAsia" w:ascii="宋体" w:hAnsi="宋体" w:eastAsia="宋体" w:cs="宋体"/>
                <w:sz w:val="21"/>
                <w:szCs w:val="21"/>
              </w:rPr>
              <w:t>通气管高出上人屋面顶面不应小于2m。</w:t>
            </w:r>
          </w:p>
          <w:p>
            <w:pPr>
              <w:keepNext w:val="0"/>
              <w:keepLines w:val="0"/>
              <w:suppressLineNumbers w:val="0"/>
              <w:shd w:val="clear"/>
              <w:tabs>
                <w:tab w:val="left" w:pos="980"/>
              </w:tabs>
              <w:kinsoku/>
              <w:wordWrap/>
              <w:bidi w:val="0"/>
              <w:snapToGrid w:val="0"/>
              <w:spacing w:before="0" w:beforeAutospacing="0" w:after="0" w:afterAutospacing="0" w:line="300" w:lineRule="auto"/>
              <w:ind w:left="0" w:right="0" w:firstLine="560"/>
              <w:rPr>
                <w:rFonts w:hint="eastAsia" w:ascii="宋体" w:hAnsi="宋体" w:eastAsia="宋体" w:cs="宋体"/>
                <w:sz w:val="21"/>
                <w:szCs w:val="21"/>
              </w:rPr>
            </w:pPr>
            <w:r>
              <w:rPr>
                <w:rFonts w:hint="eastAsia" w:ascii="宋体" w:hAnsi="宋体" w:eastAsia="宋体" w:cs="宋体"/>
                <w:sz w:val="21"/>
                <w:szCs w:val="21"/>
              </w:rPr>
              <w:t>通气管不应设在建筑物挑出部分檐口、阳台、</w:t>
            </w:r>
            <w:r>
              <w:rPr>
                <w:rFonts w:hint="eastAsia" w:ascii="宋体" w:hAnsi="宋体" w:cs="宋体"/>
                <w:sz w:val="21"/>
                <w:szCs w:val="21"/>
                <w:lang w:val="en-US" w:eastAsia="zh-CN"/>
              </w:rPr>
              <w:t>雨蓬</w:t>
            </w:r>
            <w:r>
              <w:rPr>
                <w:rFonts w:hint="eastAsia" w:ascii="宋体" w:hAnsi="宋体" w:eastAsia="宋体" w:cs="宋体"/>
                <w:sz w:val="21"/>
                <w:szCs w:val="21"/>
              </w:rPr>
              <w:t>等下面。</w:t>
            </w:r>
          </w:p>
        </w:tc>
      </w:tr>
    </w:tbl>
    <w:p>
      <w:pPr>
        <w:pStyle w:val="5"/>
        <w:numPr>
          <w:ilvl w:val="0"/>
          <w:numId w:val="0"/>
        </w:numPr>
        <w:shd w:val="clear"/>
        <w:bidi w:val="0"/>
        <w:ind w:left="0" w:leftChars="0" w:firstLine="480" w:firstLineChars="200"/>
        <w:rPr>
          <w:rFonts w:hint="eastAsia"/>
        </w:rPr>
      </w:pPr>
      <w:bookmarkStart w:id="94" w:name="_Toc10812"/>
      <w:bookmarkStart w:id="95" w:name="_Toc329509706"/>
      <w:bookmarkStart w:id="96" w:name="_Toc192504304"/>
      <w:bookmarkStart w:id="97" w:name="_Toc301725009"/>
      <w:bookmarkStart w:id="98" w:name="_Toc328296130"/>
      <w:bookmarkStart w:id="99" w:name="_Toc329512009"/>
      <w:bookmarkStart w:id="100" w:name="_Toc301706803"/>
      <w:bookmarkStart w:id="101" w:name="_Toc488445777"/>
      <w:bookmarkStart w:id="102" w:name="_Toc2931880"/>
      <w:bookmarkStart w:id="103" w:name="_Toc276634777"/>
      <w:bookmarkStart w:id="104" w:name="_Toc270697738"/>
      <w:bookmarkStart w:id="105" w:name="_Toc264470510"/>
      <w:bookmarkStart w:id="106" w:name="_Toc232855094"/>
      <w:bookmarkStart w:id="107" w:name="_Toc325964034"/>
      <w:bookmarkStart w:id="108" w:name="_Toc438727413"/>
      <w:bookmarkStart w:id="109" w:name="_Toc329521842"/>
      <w:bookmarkStart w:id="110" w:name="_Toc326226394"/>
      <w:bookmarkStart w:id="111" w:name="_Toc282353784"/>
      <w:r>
        <w:rPr>
          <w:rFonts w:hint="eastAsia" w:ascii="Times New Roman" w:hAnsi="Times New Roman" w:eastAsia="宋体" w:cs="Times New Roman"/>
          <w:b/>
          <w:bCs/>
          <w:kern w:val="2"/>
          <w:sz w:val="24"/>
          <w:szCs w:val="32"/>
          <w:lang w:val="en-US" w:eastAsia="zh-CN" w:bidi="ar-SA"/>
        </w:rPr>
        <w:t>二、</w:t>
      </w:r>
      <w:r>
        <w:rPr>
          <w:rFonts w:hint="eastAsia"/>
        </w:rPr>
        <w:t>防水工程</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hint="eastAsia"/>
        </w:rPr>
        <w:t>质量通病及预防措施</w:t>
      </w:r>
    </w:p>
    <w:p>
      <w:pPr>
        <w:shd w:val="clear"/>
        <w:kinsoku/>
        <w:wordWrap/>
        <w:bidi w:val="0"/>
        <w:adjustRightInd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防水工程质量通病、原因分析及防治措施</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50"/>
        <w:gridCol w:w="2780"/>
        <w:gridCol w:w="5771"/>
      </w:tblGrid>
      <w:tr>
        <w:trPr>
          <w:trHeight w:val="0" w:hRule="atLeast"/>
          <w:tblHeader/>
          <w:jc w:val="center"/>
        </w:trPr>
        <w:tc>
          <w:tcPr>
            <w:tcW w:w="125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278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通病现象</w:t>
            </w:r>
          </w:p>
        </w:tc>
        <w:tc>
          <w:tcPr>
            <w:tcW w:w="5771"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454" w:hRule="atLeast"/>
          <w:jc w:val="center"/>
        </w:trPr>
        <w:tc>
          <w:tcPr>
            <w:tcW w:w="125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管道穿墙或穿地部位渗漏水</w:t>
            </w:r>
          </w:p>
        </w:tc>
        <w:tc>
          <w:tcPr>
            <w:tcW w:w="2780"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一般常温管道周边阴湿或有不同程度的渗漏。热力管道周边防水层隆起或酥浆处渗漏水。</w:t>
            </w:r>
          </w:p>
        </w:tc>
        <w:tc>
          <w:tcPr>
            <w:tcW w:w="57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（1）热水管道穿透内墙部位出现渗漏水时，可剔大穿管孔眼，采用预制半圆砼套管理设法处理。即热力管道带填料可埋在半圆形砼套管内，两个半圆砼套管包住</w:t>
            </w:r>
            <w:r>
              <w:rPr>
                <w:rFonts w:hint="eastAsia" w:ascii="宋体" w:hAnsi="宋体" w:eastAsia="宋体" w:cs="宋体"/>
                <w:sz w:val="21"/>
                <w:szCs w:val="21"/>
                <w:lang w:eastAsia="zh-CN"/>
              </w:rPr>
              <w:t>热力</w:t>
            </w:r>
            <w:r>
              <w:rPr>
                <w:rFonts w:hint="eastAsia" w:ascii="宋体" w:hAnsi="宋体" w:eastAsia="宋体" w:cs="宋体"/>
                <w:sz w:val="21"/>
                <w:szCs w:val="21"/>
              </w:rPr>
              <w:t>管道。半圆砼套管外表是粗糙的，在半圆砼套管与原砼之间再用促凝胶浆或氰凝灌浆堵塞处理。</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（2）热力管道穿透外墙部位出现渗漏水时，需将地下水位降低至管道标高以下，用设置橡胶止水套的方法处理。</w:t>
            </w:r>
          </w:p>
        </w:tc>
      </w:tr>
      <w:tr>
        <w:trPr>
          <w:trHeight w:val="454" w:hRule="atLeast"/>
          <w:jc w:val="center"/>
        </w:trPr>
        <w:tc>
          <w:tcPr>
            <w:tcW w:w="125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水泥砂浆防水层局部阴湿与渗漏水</w:t>
            </w:r>
          </w:p>
        </w:tc>
        <w:tc>
          <w:tcPr>
            <w:tcW w:w="2780"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防水层上有一块块潮湿痕迹，在通风不良、水分蒸发缓慢的情况下，阴湿面积会徐徐扩展或形成渗漏，地下水从某一漏水点以不同渗水量自墙上流下或由地上冒出。</w:t>
            </w:r>
          </w:p>
        </w:tc>
        <w:tc>
          <w:tcPr>
            <w:tcW w:w="57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把渗漏部位擦干，立即均匀撒上一层干水泥粉，表面出现的湿点为漏水点，然后采用快凝砂浆或胶浆堵漏。</w:t>
            </w:r>
          </w:p>
        </w:tc>
      </w:tr>
      <w:tr>
        <w:trPr>
          <w:trHeight w:val="454" w:hRule="atLeast"/>
          <w:jc w:val="center"/>
        </w:trPr>
        <w:tc>
          <w:tcPr>
            <w:tcW w:w="125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水泥砂浆防水层空鼓、裂缝、渗漏水</w:t>
            </w:r>
          </w:p>
        </w:tc>
        <w:tc>
          <w:tcPr>
            <w:tcW w:w="2780"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防水层与基层脱离，甚至隆起，表面出现交叉裂。处于地下水位以下的裂缝处，有不同程度的渗漏。</w:t>
            </w:r>
          </w:p>
        </w:tc>
        <w:tc>
          <w:tcPr>
            <w:tcW w:w="57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（1）无渗漏水的空鼓裂缝，必须全部剔除，其边缘剔成斜坡，清洗干净后再按各层次重新修补平整。</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（2）有渗漏水的空鼓裂缝，先剔除后找出漏水点，并将</w:t>
            </w:r>
            <w:r>
              <w:rPr>
                <w:rFonts w:hint="eastAsia" w:ascii="宋体" w:hAnsi="宋体" w:cs="宋体"/>
                <w:sz w:val="21"/>
                <w:szCs w:val="21"/>
                <w:lang w:eastAsia="zh-CN"/>
              </w:rPr>
              <w:t>该处</w:t>
            </w:r>
            <w:r>
              <w:rPr>
                <w:rFonts w:hint="eastAsia" w:ascii="宋体" w:hAnsi="宋体" w:eastAsia="宋体" w:cs="宋体"/>
                <w:sz w:val="21"/>
                <w:szCs w:val="21"/>
              </w:rPr>
              <w:t>剔成凹槽，清洗干净。再用直接堵塞法或下管引水法堵塞。砖砌基层则应用下管引水法堵漏，并重新抹上防水层。</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（3）对于未空鼓、不漏水的防水层收缩裂缝，可沿裂缝剔成八字形边坡沟槽，按防水层</w:t>
            </w:r>
            <w:r>
              <w:rPr>
                <w:rFonts w:hint="eastAsia" w:ascii="宋体" w:hAnsi="宋体" w:cs="宋体"/>
                <w:sz w:val="21"/>
                <w:szCs w:val="21"/>
                <w:lang w:eastAsia="zh-CN"/>
              </w:rPr>
              <w:t>做法</w:t>
            </w:r>
            <w:r>
              <w:rPr>
                <w:rFonts w:hint="eastAsia" w:ascii="宋体" w:hAnsi="宋体" w:eastAsia="宋体" w:cs="宋体"/>
                <w:sz w:val="21"/>
                <w:szCs w:val="21"/>
              </w:rPr>
              <w:t>补平。对于渗漏水的裂缝，先堵漏，经查无漏水后按防水层</w:t>
            </w:r>
            <w:r>
              <w:rPr>
                <w:rFonts w:hint="eastAsia" w:ascii="宋体" w:hAnsi="宋体" w:cs="宋体"/>
                <w:sz w:val="21"/>
                <w:szCs w:val="21"/>
                <w:lang w:eastAsia="zh-CN"/>
              </w:rPr>
              <w:t>做法</w:t>
            </w:r>
            <w:r>
              <w:rPr>
                <w:rFonts w:hint="eastAsia" w:ascii="宋体" w:hAnsi="宋体" w:eastAsia="宋体" w:cs="宋体"/>
                <w:sz w:val="21"/>
                <w:szCs w:val="21"/>
              </w:rPr>
              <w:t>分层补平。</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（4）对于结构开裂的防水层裂缝，应先进行结构补强，征得设计同意，可采用水泥压浆法处理，再抹防水层。</w:t>
            </w:r>
          </w:p>
        </w:tc>
      </w:tr>
    </w:tbl>
    <w:p>
      <w:pPr>
        <w:pStyle w:val="5"/>
        <w:numPr>
          <w:ilvl w:val="0"/>
          <w:numId w:val="0"/>
        </w:numPr>
        <w:shd w:val="clear"/>
        <w:bidi w:val="0"/>
        <w:ind w:left="0" w:leftChars="0" w:firstLine="480" w:firstLineChars="200"/>
        <w:rPr>
          <w:rFonts w:hint="eastAsia"/>
        </w:rPr>
      </w:pPr>
      <w:bookmarkStart w:id="112" w:name="_Toc329512010"/>
      <w:bookmarkStart w:id="113" w:name="_Toc2931881"/>
      <w:bookmarkStart w:id="114" w:name="_Toc192504305"/>
      <w:bookmarkStart w:id="115" w:name="_Toc301725010"/>
      <w:bookmarkStart w:id="116" w:name="_Toc556"/>
      <w:bookmarkStart w:id="117" w:name="_Toc325964035"/>
      <w:bookmarkStart w:id="118" w:name="_Toc301706804"/>
      <w:bookmarkStart w:id="119" w:name="_Toc232855095"/>
      <w:bookmarkStart w:id="120" w:name="_Toc326226395"/>
      <w:bookmarkStart w:id="121" w:name="_Toc264470511"/>
      <w:bookmarkStart w:id="122" w:name="_Toc276634778"/>
      <w:bookmarkStart w:id="123" w:name="_Toc488445778"/>
      <w:bookmarkStart w:id="124" w:name="_Toc270697739"/>
      <w:bookmarkStart w:id="125" w:name="_Toc329521843"/>
      <w:bookmarkStart w:id="126" w:name="_Toc438727414"/>
      <w:bookmarkStart w:id="127" w:name="_Toc282353785"/>
      <w:bookmarkStart w:id="128" w:name="_Toc329509707"/>
      <w:bookmarkStart w:id="129" w:name="_Toc328296131"/>
      <w:r>
        <w:rPr>
          <w:rFonts w:hint="eastAsia" w:ascii="Times New Roman" w:hAnsi="Times New Roman" w:eastAsia="宋体" w:cs="Times New Roman"/>
          <w:b/>
          <w:bCs/>
          <w:kern w:val="2"/>
          <w:sz w:val="24"/>
          <w:szCs w:val="32"/>
          <w:lang w:val="en-US" w:eastAsia="zh-CN" w:bidi="ar-SA"/>
        </w:rPr>
        <w:t>三、</w:t>
      </w:r>
      <w:r>
        <w:rPr>
          <w:rFonts w:hint="eastAsia"/>
        </w:rPr>
        <w:t>混凝土结构</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hint="eastAsia"/>
        </w:rPr>
        <w:t>工程质量通病及预防措施</w:t>
      </w:r>
    </w:p>
    <w:p>
      <w:pPr>
        <w:shd w:val="clear"/>
        <w:kinsoku/>
        <w:wordWrap/>
        <w:bidi w:val="0"/>
        <w:adjustRightInd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混凝土结构工程质量通病、原因分析及防治措施</w:t>
      </w:r>
    </w:p>
    <w:tbl>
      <w:tblPr>
        <w:tblStyle w:val="54"/>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60"/>
        <w:gridCol w:w="2868"/>
        <w:gridCol w:w="5592"/>
      </w:tblGrid>
      <w:tr>
        <w:trPr>
          <w:trHeight w:val="454" w:hRule="atLeast"/>
          <w:tblHeader/>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2868"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通病现象</w:t>
            </w:r>
          </w:p>
        </w:tc>
        <w:tc>
          <w:tcPr>
            <w:tcW w:w="559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454" w:hRule="atLeast"/>
          <w:jc w:val="center"/>
        </w:trPr>
        <w:tc>
          <w:tcPr>
            <w:tcW w:w="1360" w:type="dxa"/>
            <w:vMerge w:val="restart"/>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混凝土表面麻面、露筋、蜂窝、孔洞</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施工缝处砼结合不好，有缝隙或夹有杂物，造成结构整体性不好。</w:t>
            </w:r>
          </w:p>
        </w:tc>
        <w:tc>
          <w:tcPr>
            <w:tcW w:w="5592" w:type="dxa"/>
            <w:shd w:val="clear" w:color="auto" w:fill="auto"/>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（1）缝隙较细时，可用清水冲洗裂缝，湿润后抹水泥浆。</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（2）梁柱等在补强前，首先应搭设临时支撑予以加固后方可进行剔凿工作。清洗干净，充分湿润再</w:t>
            </w:r>
            <w:r>
              <w:rPr>
                <w:rFonts w:hint="eastAsia" w:ascii="宋体" w:hAnsi="宋体" w:eastAsia="宋体" w:cs="宋体"/>
                <w:sz w:val="21"/>
                <w:szCs w:val="21"/>
                <w:lang w:eastAsia="zh-CN"/>
              </w:rPr>
              <w:t>灌注</w:t>
            </w:r>
            <w:r>
              <w:rPr>
                <w:rFonts w:hint="eastAsia" w:ascii="宋体" w:hAnsi="宋体" w:eastAsia="宋体" w:cs="宋体"/>
                <w:sz w:val="21"/>
                <w:szCs w:val="21"/>
              </w:rPr>
              <w:t>高一等级的豆石砼，捣实并认真养护。</w:t>
            </w:r>
          </w:p>
        </w:tc>
      </w:tr>
      <w:tr>
        <w:trPr>
          <w:trHeight w:val="454" w:hRule="atLeast"/>
          <w:jc w:val="center"/>
        </w:trPr>
        <w:tc>
          <w:tcPr>
            <w:tcW w:w="1360" w:type="dxa"/>
            <w:vMerge w:val="continue"/>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梁、板、柱、墙及洞口直角处，砼局部掉落，不规整，棱角有缺陷。</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缺棱掉角较小时，用</w:t>
            </w:r>
            <w:r>
              <w:rPr>
                <w:rFonts w:hint="eastAsia" w:ascii="宋体" w:hAnsi="宋体" w:cs="宋体"/>
                <w:sz w:val="21"/>
                <w:szCs w:val="21"/>
                <w:lang w:eastAsia="zh-CN"/>
              </w:rPr>
              <w:t>钢丝刷</w:t>
            </w:r>
            <w:r>
              <w:rPr>
                <w:rFonts w:hint="eastAsia" w:ascii="宋体" w:hAnsi="宋体" w:cs="宋体"/>
                <w:sz w:val="21"/>
                <w:szCs w:val="21"/>
                <w:lang w:val="en-US" w:eastAsia="zh-CN"/>
              </w:rPr>
              <w:t>刷</w:t>
            </w:r>
            <w:r>
              <w:rPr>
                <w:rFonts w:hint="eastAsia" w:ascii="宋体" w:hAnsi="宋体" w:eastAsia="宋体" w:cs="宋体"/>
                <w:sz w:val="21"/>
                <w:szCs w:val="21"/>
              </w:rPr>
              <w:t>该处，清水冲刷充分湿润后，用1:2的水泥砂浆抹补</w:t>
            </w:r>
            <w:r>
              <w:rPr>
                <w:rFonts w:hint="eastAsia" w:ascii="宋体" w:hAnsi="宋体" w:eastAsia="宋体" w:cs="宋体"/>
                <w:sz w:val="21"/>
                <w:szCs w:val="21"/>
                <w:lang w:eastAsia="zh-CN"/>
              </w:rPr>
              <w:t>齐整</w:t>
            </w:r>
            <w:r>
              <w:rPr>
                <w:rFonts w:hint="eastAsia" w:ascii="宋体" w:hAnsi="宋体" w:eastAsia="宋体" w:cs="宋体"/>
                <w:sz w:val="21"/>
                <w:szCs w:val="21"/>
              </w:rPr>
              <w:t>。对较大缺角，将不实的砼凿除，用水冲刷干净湿透，然后支模用高一等级的豆石砼补好，并加强养护。</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砼板面不平整</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砼板厚薄不一致，表面不平整，甚至有凹坑、脚印等。</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局部不平整可用豆石砼或1:2水泥砂浆修补。</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砼结构构件轴线位移</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基础、墙、梁、柱轴线的位移，以及预埋件等的位移超过允许偏差值。</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（1）偏差值不影响结构施工质量要求时，可不处理；只需进行少量局部剔凿和修补处理时，应适时整修。一般可用1:2或1:2.5水泥砂浆或提高一等级的豆石砼进行修补。</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（2）偏差值影响结构施工质量要求时，应会同有关部门研究处理方案后，再进行处理。</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砼柱、墙、梁的外形偏差、表面平整差</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柱、墙、梁等砼外形竖向偏差、表面平整超过允许偏差值。</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（1）偏差值较小，不影响结构工程施工质量时，一般可不处理；如只需少量剔除，就可满足装饰施工质量时，一般可在装饰前进行处理。</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（2）竖向偏差值超过允许值较大，影响结构工程质量要求时，应在拆模后，把偏差值较大的砼剔除，返工重做。</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砼强度偏低、匀质性差</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（1）同批砼试块的抗压强度的平均值低于0.85或0.90设计强度等级。</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（2）同批砼中最低一组试块强度值低于0.9设计强度等级。</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（3）同批砼中个别试块强度值过高过低，出现异常。</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（4）冬期施工时，同条件养护试块达不到冬施方案预期的拆模或拆除保温时的强度要求。</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（1）当试压结果与要求相差悬殊时，或试块合格而对砼结构实际强度有怀疑，或有试块丢失、编号</w:t>
            </w:r>
            <w:r>
              <w:rPr>
                <w:rFonts w:hint="eastAsia" w:ascii="宋体" w:hAnsi="宋体" w:cs="宋体"/>
                <w:sz w:val="21"/>
                <w:szCs w:val="21"/>
                <w:lang w:eastAsia="zh-CN"/>
              </w:rPr>
              <w:t>混乱</w:t>
            </w:r>
            <w:r>
              <w:rPr>
                <w:rFonts w:hint="eastAsia" w:ascii="宋体" w:hAnsi="宋体" w:eastAsia="宋体" w:cs="宋体"/>
                <w:sz w:val="21"/>
                <w:szCs w:val="21"/>
              </w:rPr>
              <w:t>、忘记制作试块等情况，可采用回弹仪、超声波等方法来测定</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（2）如砼强度不合格，可从砼结构中凿取试块，仔细</w:t>
            </w:r>
            <w:r>
              <w:rPr>
                <w:rFonts w:hint="eastAsia" w:ascii="宋体" w:hAnsi="宋体" w:cs="宋体"/>
                <w:sz w:val="21"/>
                <w:szCs w:val="21"/>
                <w:lang w:eastAsia="zh-CN"/>
              </w:rPr>
              <w:t>磨平</w:t>
            </w:r>
            <w:r>
              <w:rPr>
                <w:rFonts w:hint="eastAsia" w:ascii="宋体" w:hAnsi="宋体" w:eastAsia="宋体" w:cs="宋体"/>
                <w:sz w:val="21"/>
                <w:szCs w:val="21"/>
              </w:rPr>
              <w:t>，通过试验机测定砼的实际强度。凿取的试块要具有代表性，且不影响结构使用和安全。</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（3）当砼强度偏低，不能满足要求时，可按实际强度校核结构的安全度，并经有关设计单位研究提出处理方案，如推迟承受荷载的时间，减小荷载值或采取加固补强措施。</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（4）冬期施工，如发现早期砼强度增长太慢，应及时采取加强保温以及采取通蒸气、热砂、电热毯覆盖</w:t>
            </w:r>
            <w:r>
              <w:rPr>
                <w:rFonts w:hint="eastAsia" w:ascii="宋体" w:hAnsi="宋体" w:eastAsia="宋体" w:cs="宋体"/>
                <w:sz w:val="21"/>
                <w:szCs w:val="21"/>
                <w:lang w:eastAsia="zh-CN"/>
              </w:rPr>
              <w:t>加温</w:t>
            </w:r>
            <w:r>
              <w:rPr>
                <w:rFonts w:hint="eastAsia" w:ascii="宋体" w:hAnsi="宋体" w:eastAsia="宋体" w:cs="宋体"/>
                <w:sz w:val="21"/>
                <w:szCs w:val="21"/>
              </w:rPr>
              <w:t>等措施。</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砼保护层破坏或砼保护性能不良</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当结构的保护层砼遭破坏或保护性能不良时，钢筋会锈蚀、铁锈膨胀导致砼开裂。</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（1）砼裂缝可用环氧树脂灌缝。</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（2）对已锈蚀的钢筋，应清除铁锈，凿除与钢筋结合不良的砼，用清水冲刷干净充分湿润后，用高一等级的豆石砼填实，加强养护。</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（3）大面积钢筋锈蚀引起砼裂缝，应与设计单位研究制定处理方案，经批准后再行处理。</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砼收缩裂缝</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裂缝多在新浇筑并暴露于空气中的结构构件表面出现，有塑态收缩、沉陷收缩、干燥收缩、碳化收缩、凝结收缩等收缩裂缝，这种裂缝不深也不宽。</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（1）如砼仍有塑性，可采取压抹一遍或重新振捣的办法，并加强养护。</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（2）如砼已硬化，可向裂缝内</w:t>
            </w:r>
            <w:r>
              <w:rPr>
                <w:rFonts w:hint="eastAsia" w:ascii="宋体" w:hAnsi="宋体" w:cs="宋体"/>
                <w:sz w:val="21"/>
                <w:szCs w:val="21"/>
                <w:lang w:val="en-US" w:eastAsia="zh-CN"/>
              </w:rPr>
              <w:t>撒</w:t>
            </w:r>
            <w:r>
              <w:rPr>
                <w:rFonts w:hint="eastAsia" w:ascii="宋体" w:hAnsi="宋体" w:eastAsia="宋体" w:cs="宋体"/>
                <w:sz w:val="21"/>
                <w:szCs w:val="21"/>
              </w:rPr>
              <w:t>入干水泥粉，然后加水润湿，或在表面抹薄层水泥砂浆。</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（3）也可在裂缝表面涂环氧胶泥或粘贴环氧玻璃布进行封闭处理。</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砼温度裂缝</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温度裂缝走向无规律，大面积结构温度裂缝往往是纵横交错；梁板类温度裂缝多平行于短边。裂缝宽度一般在0.5mm以下。表面温度裂缝多在施工期间出现，贯穿的温度裂缝在浇筑经2～3个月或更长时间发生，缝宽是冬季宽夏季变细。沿截面高度，裂缝呈上宽下窄多数，个别也有下宽上窄，遇顶部和底部配筋较多的结构，也有中间宽两端窄的梭形裂缝。</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对表面裂缝，可采取涂两遍环氧胶泥或贴环氧玻璃布，以及抹、喷水泥砂浆等方法进行表面封闭处理。对防水防渗的结构，大于0.1mm宽度的贯穿性裂缝，采用灌水泥浆或环氧浆液进行裂缝修补，或者灌浆与表面封闭同时采用。小于0.1mm的裂缝，可不处理或只</w:t>
            </w:r>
            <w:r>
              <w:rPr>
                <w:rFonts w:hint="eastAsia" w:ascii="宋体" w:hAnsi="宋体" w:cs="宋体"/>
                <w:sz w:val="21"/>
                <w:szCs w:val="21"/>
                <w:lang w:eastAsia="zh-CN"/>
              </w:rPr>
              <w:t>做</w:t>
            </w:r>
            <w:r>
              <w:rPr>
                <w:rFonts w:hint="eastAsia" w:ascii="宋体" w:hAnsi="宋体" w:eastAsia="宋体" w:cs="宋体"/>
                <w:sz w:val="21"/>
                <w:szCs w:val="21"/>
              </w:rPr>
              <w:t>表面处理。</w:t>
            </w:r>
          </w:p>
        </w:tc>
      </w:tr>
      <w:tr>
        <w:trPr>
          <w:trHeight w:val="454" w:hRule="atLeast"/>
          <w:jc w:val="center"/>
        </w:trPr>
        <w:tc>
          <w:tcPr>
            <w:tcW w:w="1360"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砼冻胀裂缝</w:t>
            </w:r>
          </w:p>
        </w:tc>
        <w:tc>
          <w:tcPr>
            <w:tcW w:w="2868"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构件表面沿主筋、箍筋方向出现宽窄不一的裂缝，深度一般到主筋。</w:t>
            </w:r>
          </w:p>
        </w:tc>
        <w:tc>
          <w:tcPr>
            <w:tcW w:w="5592"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对一般裂缝可用环氧胶泥封闭；对较宽较深裂缝，用环氧砂浆补缝或再加贴环氧玻璃布处理；对较严重的裂缝，将剥落疏松砼凿去，加焊钢丝后，再重新浇筑一层细石砼并加强养护。</w:t>
            </w:r>
          </w:p>
        </w:tc>
      </w:tr>
    </w:tbl>
    <w:p>
      <w:pPr>
        <w:pStyle w:val="5"/>
        <w:numPr>
          <w:ilvl w:val="0"/>
          <w:numId w:val="0"/>
        </w:numPr>
        <w:shd w:val="clear"/>
        <w:bidi w:val="0"/>
        <w:ind w:left="0" w:leftChars="0" w:firstLine="480" w:firstLineChars="200"/>
        <w:rPr>
          <w:rFonts w:hint="eastAsia"/>
        </w:rPr>
      </w:pPr>
      <w:bookmarkStart w:id="130" w:name="_Toc438727415"/>
      <w:bookmarkStart w:id="131" w:name="_Toc5521"/>
      <w:bookmarkStart w:id="132" w:name="_Toc488445781"/>
      <w:bookmarkStart w:id="133" w:name="_Toc329512011"/>
      <w:bookmarkStart w:id="134" w:name="_Toc326226396"/>
      <w:bookmarkStart w:id="135" w:name="_Toc2931883"/>
      <w:bookmarkStart w:id="136" w:name="_Toc264470512"/>
      <w:bookmarkStart w:id="137" w:name="_Toc329521844"/>
      <w:bookmarkStart w:id="138" w:name="_Toc270697740"/>
      <w:bookmarkStart w:id="139" w:name="_Toc328296132"/>
      <w:bookmarkStart w:id="140" w:name="_Toc232855097"/>
      <w:bookmarkStart w:id="141" w:name="_Toc276634779"/>
      <w:bookmarkStart w:id="142" w:name="_Toc301706805"/>
      <w:bookmarkStart w:id="143" w:name="_Toc325964036"/>
      <w:bookmarkStart w:id="144" w:name="_Toc329509708"/>
      <w:bookmarkStart w:id="145" w:name="_Toc301725011"/>
      <w:bookmarkStart w:id="146" w:name="_Toc192504307"/>
      <w:bookmarkStart w:id="147" w:name="_Toc282353786"/>
      <w:r>
        <w:rPr>
          <w:rFonts w:hint="eastAsia" w:ascii="Times New Roman" w:hAnsi="Times New Roman" w:eastAsia="宋体" w:cs="Times New Roman"/>
          <w:b/>
          <w:bCs/>
          <w:kern w:val="2"/>
          <w:sz w:val="24"/>
          <w:szCs w:val="32"/>
          <w:lang w:val="en-US" w:eastAsia="zh-CN" w:bidi="ar-SA"/>
        </w:rPr>
        <w:t>四、</w:t>
      </w:r>
      <w:r>
        <w:rPr>
          <w:rFonts w:hint="eastAsia"/>
        </w:rPr>
        <w:t>砌筑工程质量通病及预防措施</w:t>
      </w:r>
      <w:bookmarkEnd w:id="130"/>
      <w:bookmarkEnd w:id="131"/>
      <w:bookmarkEnd w:id="132"/>
    </w:p>
    <w:p>
      <w:pPr>
        <w:shd w:val="clear"/>
        <w:kinsoku/>
        <w:wordWrap/>
        <w:bidi w:val="0"/>
        <w:adjustRightInd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砌筑工程质量通病、原因分析及防治措施</w:t>
      </w:r>
    </w:p>
    <w:tbl>
      <w:tblPr>
        <w:tblStyle w:val="54"/>
        <w:tblW w:w="9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72"/>
        <w:gridCol w:w="4271"/>
        <w:gridCol w:w="4167"/>
      </w:tblGrid>
      <w:tr>
        <w:trPr>
          <w:trHeight w:val="454" w:hRule="atLeast"/>
          <w:tblHeader/>
          <w:jc w:val="center"/>
        </w:trPr>
        <w:tc>
          <w:tcPr>
            <w:tcW w:w="137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4271"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产生原因</w:t>
            </w:r>
          </w:p>
        </w:tc>
        <w:tc>
          <w:tcPr>
            <w:tcW w:w="416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454" w:hRule="atLeast"/>
          <w:jc w:val="center"/>
        </w:trPr>
        <w:tc>
          <w:tcPr>
            <w:tcW w:w="137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墙身轴线位移偏移</w:t>
            </w:r>
          </w:p>
        </w:tc>
        <w:tc>
          <w:tcPr>
            <w:tcW w:w="42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在砌筑操作过程中，没有检查校核砌体的轴线与边线的关系，以及挂准线过长而未能达到平直通光一致的要求。</w:t>
            </w:r>
          </w:p>
        </w:tc>
        <w:tc>
          <w:tcPr>
            <w:tcW w:w="4167"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（1）检查校核砌体的轴线与边线的关系。</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（2）挂准线长度适宜。</w:t>
            </w:r>
          </w:p>
        </w:tc>
      </w:tr>
      <w:tr>
        <w:trPr>
          <w:trHeight w:val="454" w:hRule="atLeast"/>
          <w:jc w:val="center"/>
        </w:trPr>
        <w:tc>
          <w:tcPr>
            <w:tcW w:w="137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水平灰缝厚薄不均</w:t>
            </w:r>
          </w:p>
        </w:tc>
        <w:tc>
          <w:tcPr>
            <w:tcW w:w="42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在立皮数杆</w:t>
            </w:r>
            <w:r>
              <w:rPr>
                <w:rFonts w:hint="eastAsia" w:ascii="宋体" w:hAnsi="宋体" w:cs="宋体"/>
                <w:sz w:val="21"/>
                <w:szCs w:val="21"/>
                <w:lang w:eastAsia="zh-CN"/>
              </w:rPr>
              <w:t>（</w:t>
            </w:r>
            <w:r>
              <w:rPr>
                <w:rFonts w:hint="eastAsia" w:ascii="宋体" w:hAnsi="宋体" w:eastAsia="宋体" w:cs="宋体"/>
                <w:sz w:val="21"/>
                <w:szCs w:val="21"/>
              </w:rPr>
              <w:t>或框架柱上画水平线</w:t>
            </w:r>
            <w:r>
              <w:rPr>
                <w:rFonts w:hint="eastAsia" w:ascii="宋体" w:hAnsi="宋体" w:eastAsia="宋体" w:cs="宋体"/>
                <w:sz w:val="21"/>
                <w:szCs w:val="21"/>
                <w:lang w:eastAsia="zh-CN"/>
              </w:rPr>
              <w:t>）</w:t>
            </w:r>
            <w:r>
              <w:rPr>
                <w:rFonts w:hint="eastAsia" w:ascii="宋体" w:hAnsi="宋体" w:eastAsia="宋体" w:cs="宋体"/>
                <w:sz w:val="21"/>
                <w:szCs w:val="21"/>
              </w:rPr>
              <w:t>标高不一致，砌砖盘角的时候每道灰缝控制不均匀，砌砖准线没拉紧。</w:t>
            </w:r>
          </w:p>
        </w:tc>
        <w:tc>
          <w:tcPr>
            <w:tcW w:w="4167"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（1）核查标高，确保正确。</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（2）保证砌砖准线始终拉紧。</w:t>
            </w:r>
          </w:p>
        </w:tc>
      </w:tr>
      <w:tr>
        <w:trPr>
          <w:trHeight w:val="454" w:hRule="atLeast"/>
          <w:jc w:val="center"/>
        </w:trPr>
        <w:tc>
          <w:tcPr>
            <w:tcW w:w="137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同一砖层的标高差肉眼可见</w:t>
            </w:r>
          </w:p>
        </w:tc>
        <w:tc>
          <w:tcPr>
            <w:tcW w:w="42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砌筑前由于基础顶面或楼板面标高偏差过大而没有找平理顺，皮数杆不能与砖层吻合；在砌筑时，没有按皮数杆控制砖的皮数。</w:t>
            </w:r>
          </w:p>
        </w:tc>
        <w:tc>
          <w:tcPr>
            <w:tcW w:w="4167"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（1）确保基础满足要求。</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（2）严格按皮数杆控制砖的皮数。</w:t>
            </w:r>
          </w:p>
        </w:tc>
      </w:tr>
      <w:tr>
        <w:trPr>
          <w:trHeight w:val="454" w:hRule="atLeast"/>
          <w:jc w:val="center"/>
        </w:trPr>
        <w:tc>
          <w:tcPr>
            <w:tcW w:w="1372"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墙面游丁走缝</w:t>
            </w:r>
          </w:p>
        </w:tc>
        <w:tc>
          <w:tcPr>
            <w:tcW w:w="4271"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（1）砖的长、宽尺寸误差较大，砌前没有进行实测及挑选。</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（2）排砖撂底时没有把竖缝排列均匀</w:t>
            </w:r>
            <w:r>
              <w:rPr>
                <w:rFonts w:hint="eastAsia" w:ascii="宋体" w:hAnsi="宋体" w:eastAsia="宋体" w:cs="宋体"/>
                <w:sz w:val="21"/>
                <w:szCs w:val="21"/>
                <w:lang w:eastAsia="zh-CN"/>
              </w:rPr>
              <w:t>，</w:t>
            </w:r>
            <w:r>
              <w:rPr>
                <w:rFonts w:hint="eastAsia" w:ascii="宋体" w:hAnsi="宋体" w:eastAsia="宋体" w:cs="宋体"/>
                <w:sz w:val="21"/>
                <w:szCs w:val="21"/>
              </w:rPr>
              <w:t>或没将窗口位置引出</w:t>
            </w:r>
            <w:r>
              <w:rPr>
                <w:rFonts w:hint="eastAsia" w:ascii="宋体" w:hAnsi="宋体" w:eastAsia="宋体" w:cs="宋体"/>
                <w:sz w:val="21"/>
                <w:szCs w:val="21"/>
                <w:lang w:eastAsia="zh-CN"/>
              </w:rPr>
              <w:t>，</w:t>
            </w:r>
            <w:r>
              <w:rPr>
                <w:rFonts w:hint="eastAsia" w:ascii="宋体" w:hAnsi="宋体" w:eastAsia="宋体" w:cs="宋体"/>
                <w:sz w:val="21"/>
                <w:szCs w:val="21"/>
              </w:rPr>
              <w:t>使砖的竖缝尽量与窗口边线相齐。</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（3）在砌筑操作过程中</w:t>
            </w:r>
            <w:r>
              <w:rPr>
                <w:rFonts w:hint="eastAsia" w:ascii="宋体" w:hAnsi="宋体" w:eastAsia="宋体" w:cs="宋体"/>
                <w:sz w:val="21"/>
                <w:szCs w:val="21"/>
                <w:lang w:eastAsia="zh-CN"/>
              </w:rPr>
              <w:t>，</w:t>
            </w:r>
            <w:r>
              <w:rPr>
                <w:rFonts w:hint="eastAsia" w:ascii="宋体" w:hAnsi="宋体" w:eastAsia="宋体" w:cs="宋体"/>
                <w:sz w:val="21"/>
                <w:szCs w:val="21"/>
              </w:rPr>
              <w:t>没有注意到丁砖的中线必须与下层条砖的中线相重合而造成丁砖游走</w:t>
            </w:r>
            <w:r>
              <w:rPr>
                <w:rFonts w:hint="eastAsia" w:ascii="宋体" w:hAnsi="宋体" w:eastAsia="宋体" w:cs="宋体"/>
                <w:sz w:val="21"/>
                <w:szCs w:val="21"/>
                <w:lang w:eastAsia="zh-CN"/>
              </w:rPr>
              <w:t>，</w:t>
            </w:r>
            <w:r>
              <w:rPr>
                <w:rFonts w:hint="eastAsia" w:ascii="宋体" w:hAnsi="宋体" w:eastAsia="宋体" w:cs="宋体"/>
                <w:sz w:val="21"/>
                <w:szCs w:val="21"/>
              </w:rPr>
              <w:t>上下竖缝发生错位；没有在沿墙面每隔2m间距左右竖缝处用托线板吊直弹线向上</w:t>
            </w:r>
            <w:r>
              <w:rPr>
                <w:rFonts w:hint="eastAsia" w:ascii="宋体" w:hAnsi="宋体" w:cs="宋体"/>
                <w:sz w:val="21"/>
                <w:szCs w:val="21"/>
                <w:lang w:eastAsia="zh-CN"/>
              </w:rPr>
              <w:t>引申</w:t>
            </w:r>
            <w:r>
              <w:rPr>
                <w:rFonts w:hint="eastAsia" w:ascii="宋体" w:hAnsi="宋体" w:eastAsia="宋体" w:cs="宋体"/>
                <w:sz w:val="21"/>
                <w:szCs w:val="21"/>
              </w:rPr>
              <w:t>作为控制游丁走缝的基准。</w:t>
            </w:r>
          </w:p>
        </w:tc>
        <w:tc>
          <w:tcPr>
            <w:tcW w:w="4167"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（1）严格控制进场材料，并进行实测及挑选。</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（2）预先做好预留洞口处的排砖和缝隙。</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（3）丁砖的中线必须与下层条砖的中线相重合而造成丁砖游走。</w:t>
            </w:r>
          </w:p>
          <w:p>
            <w:pPr>
              <w:pStyle w:val="274"/>
              <w:keepNext w:val="0"/>
              <w:keepLines w:val="0"/>
              <w:suppressLineNumbers w:val="0"/>
              <w:shd w:val="clear"/>
              <w:kinsoku/>
              <w:wordWrap/>
              <w:bidi w:val="0"/>
              <w:snapToGrid w:val="0"/>
              <w:spacing w:before="0" w:beforeAutospacing="0" w:after="0" w:afterAutospacing="0" w:line="300" w:lineRule="auto"/>
              <w:ind w:left="0" w:right="0"/>
              <w:jc w:val="both"/>
              <w:rPr>
                <w:rFonts w:hint="eastAsia" w:ascii="宋体" w:hAnsi="宋体" w:eastAsia="宋体" w:cs="宋体"/>
                <w:sz w:val="21"/>
                <w:szCs w:val="21"/>
              </w:rPr>
            </w:pPr>
            <w:r>
              <w:rPr>
                <w:rFonts w:hint="eastAsia" w:ascii="宋体" w:hAnsi="宋体" w:eastAsia="宋体" w:cs="宋体"/>
                <w:sz w:val="21"/>
                <w:szCs w:val="21"/>
              </w:rPr>
              <w:t>（4）严格按照技术措施控制工序。</w:t>
            </w:r>
          </w:p>
        </w:tc>
      </w:t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tbl>
    <w:p>
      <w:pPr>
        <w:pStyle w:val="5"/>
        <w:numPr>
          <w:ilvl w:val="0"/>
          <w:numId w:val="0"/>
        </w:numPr>
        <w:shd w:val="clear"/>
        <w:bidi w:val="0"/>
        <w:ind w:left="0" w:leftChars="0" w:firstLine="480" w:firstLineChars="200"/>
        <w:rPr>
          <w:rFonts w:hint="eastAsia"/>
        </w:rPr>
      </w:pPr>
      <w:bookmarkStart w:id="148" w:name="_Toc301706806"/>
      <w:bookmarkStart w:id="149" w:name="_Toc13621"/>
      <w:bookmarkStart w:id="150" w:name="_Toc276634781"/>
      <w:bookmarkStart w:id="151" w:name="_Toc326226398"/>
      <w:bookmarkStart w:id="152" w:name="_Toc264470514"/>
      <w:bookmarkStart w:id="153" w:name="_Toc328296134"/>
      <w:bookmarkStart w:id="154" w:name="_Toc2931885"/>
      <w:bookmarkStart w:id="155" w:name="_Toc301725012"/>
      <w:bookmarkStart w:id="156" w:name="_Toc438727417"/>
      <w:bookmarkStart w:id="157" w:name="_Toc329512013"/>
      <w:bookmarkStart w:id="158" w:name="_Toc329521846"/>
      <w:bookmarkStart w:id="159" w:name="_Toc325964038"/>
      <w:bookmarkStart w:id="160" w:name="_Toc329509710"/>
      <w:bookmarkStart w:id="161" w:name="_Toc282353788"/>
      <w:bookmarkStart w:id="162" w:name="_Toc232855099"/>
      <w:bookmarkStart w:id="163" w:name="_Toc270697742"/>
      <w:bookmarkStart w:id="164" w:name="_Toc192504309"/>
      <w:bookmarkStart w:id="165" w:name="_Toc488445782"/>
      <w:r>
        <w:rPr>
          <w:rFonts w:hint="eastAsia" w:ascii="Times New Roman" w:hAnsi="Times New Roman" w:eastAsia="宋体" w:cs="Times New Roman"/>
          <w:b/>
          <w:bCs/>
          <w:kern w:val="2"/>
          <w:sz w:val="24"/>
          <w:szCs w:val="32"/>
          <w:lang w:val="en-US" w:eastAsia="zh-CN" w:bidi="ar-SA"/>
        </w:rPr>
        <w:t>五、</w:t>
      </w:r>
      <w:r>
        <w:rPr>
          <w:rFonts w:hint="eastAsia"/>
        </w:rPr>
        <w:t>装饰</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Fonts w:hint="eastAsia"/>
        </w:rPr>
        <w:t>工程质量通病及预防措施</w:t>
      </w:r>
    </w:p>
    <w:p>
      <w:pPr>
        <w:shd w:val="clear"/>
        <w:kinsoku/>
        <w:wordWrap/>
        <w:bidi w:val="0"/>
        <w:adjustRightInd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装饰工程质量通病、原因分析及防治措施</w:t>
      </w:r>
    </w:p>
    <w:tbl>
      <w:tblPr>
        <w:tblStyle w:val="54"/>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7"/>
        <w:gridCol w:w="3493"/>
        <w:gridCol w:w="5145"/>
      </w:tblGrid>
      <w:tr>
        <w:trPr>
          <w:trHeight w:val="454" w:hRule="atLeast"/>
          <w:tblHeader/>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项目</w:t>
            </w:r>
          </w:p>
        </w:tc>
        <w:tc>
          <w:tcPr>
            <w:tcW w:w="3493"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通病现象</w:t>
            </w:r>
          </w:p>
        </w:tc>
        <w:tc>
          <w:tcPr>
            <w:tcW w:w="5145"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b/>
                <w:bCs/>
                <w:sz w:val="21"/>
                <w:szCs w:val="21"/>
              </w:rPr>
            </w:pPr>
            <w:r>
              <w:rPr>
                <w:rFonts w:hint="eastAsia" w:ascii="宋体" w:hAnsi="宋体" w:eastAsia="宋体" w:cs="宋体"/>
                <w:b/>
                <w:bCs/>
                <w:sz w:val="21"/>
                <w:szCs w:val="21"/>
              </w:rPr>
              <w:t>防治措施</w:t>
            </w:r>
          </w:p>
        </w:tc>
      </w:tr>
      <w:tr>
        <w:trPr>
          <w:trHeight w:val="454" w:hRule="atLeast"/>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抹灰面层起泡、开花、有抹纹</w:t>
            </w:r>
          </w:p>
        </w:tc>
        <w:tc>
          <w:tcPr>
            <w:tcW w:w="3493"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抹罩面灰时操作不当，基层过干或使用不灰膏质量不好，容易产生面层起泡和有抹纹现象，过一段时间还会出现面层开花，影响外观质量。</w:t>
            </w:r>
          </w:p>
        </w:tc>
        <w:tc>
          <w:tcPr>
            <w:tcW w:w="5145"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墙面开花有时需经过一个多月的过程，在处理时应待墙面确实不会再有开花情况，才可以挖去开花处松散表面，重新用腻子找补刮平，最后喷浆。</w:t>
            </w:r>
          </w:p>
        </w:tc>
      </w:tr>
      <w:tr>
        <w:trPr>
          <w:trHeight w:val="454" w:hRule="atLeast"/>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瓷砖墙面空鼓脱落</w:t>
            </w:r>
          </w:p>
        </w:tc>
        <w:tc>
          <w:tcPr>
            <w:tcW w:w="3493"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瓷砖镶贴质量不好，造成局部或较大面积的空鼓，严重时瓷砖脱落掉下。</w:t>
            </w:r>
          </w:p>
        </w:tc>
        <w:tc>
          <w:tcPr>
            <w:tcW w:w="5145"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当瓷砖墙面有空鼓和脱落情况，应取下瓷砖，铲去一部分原有粘贴砂浆，采用掺水泥重量3%的环保胶加水泥砂浆粘贴修补。</w:t>
            </w:r>
          </w:p>
        </w:tc>
      </w:tr>
      <w:tr>
        <w:trPr>
          <w:trHeight w:val="454" w:hRule="atLeast"/>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油漆流坠</w:t>
            </w:r>
          </w:p>
        </w:tc>
        <w:tc>
          <w:tcPr>
            <w:tcW w:w="3493"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在垂直面，或线角的凹槽处，油漆发生流淌。较轻的泪痕</w:t>
            </w:r>
            <w:r>
              <w:rPr>
                <w:rFonts w:hint="eastAsia" w:ascii="宋体" w:hAnsi="宋体" w:eastAsia="宋体" w:cs="宋体"/>
                <w:sz w:val="21"/>
                <w:szCs w:val="21"/>
                <w:lang w:eastAsia="zh-CN"/>
              </w:rPr>
              <w:t>像串珠子</w:t>
            </w:r>
            <w:r>
              <w:rPr>
                <w:rFonts w:hint="eastAsia" w:ascii="宋体" w:hAnsi="宋体" w:eastAsia="宋体" w:cs="宋体"/>
                <w:sz w:val="21"/>
                <w:szCs w:val="21"/>
              </w:rPr>
              <w:t>；严重的如帐下垂，形成突出的山峰状态倒影，用手摸明显地感到流坠处的漆膜</w:t>
            </w:r>
            <w:r>
              <w:rPr>
                <w:rFonts w:hint="eastAsia" w:ascii="宋体" w:hAnsi="宋体" w:eastAsia="宋体" w:cs="宋体"/>
                <w:sz w:val="21"/>
                <w:szCs w:val="21"/>
                <w:lang w:eastAsia="zh-CN"/>
              </w:rPr>
              <w:t>比其他</w:t>
            </w:r>
            <w:r>
              <w:rPr>
                <w:rFonts w:hint="eastAsia" w:ascii="宋体" w:hAnsi="宋体" w:eastAsia="宋体" w:cs="宋体"/>
                <w:sz w:val="21"/>
                <w:szCs w:val="21"/>
              </w:rPr>
              <w:t>部分凸出。</w:t>
            </w:r>
          </w:p>
        </w:tc>
        <w:tc>
          <w:tcPr>
            <w:tcW w:w="5145"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（1）漆膜未完全干燥，在一个边或一个面部分油漆流坠，可用铲刀将多余的油漆铲除后，对这个边或面再用同样的油漆满刷一遍即可。</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（2）漆膜已完全干燥，对于轻微的油漆流坠，可用砂纸将流坠油漆磨平整。对于大面积油漆流坠，可用水砂纸磨平或用铲刀铲除干净，并用修补腻子后，再满刷油漆一遍即可。</w:t>
            </w:r>
          </w:p>
        </w:tc>
      </w:tr>
      <w:tr>
        <w:trPr>
          <w:trHeight w:val="454" w:hRule="atLeast"/>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油漆慢干和回粘</w:t>
            </w:r>
          </w:p>
        </w:tc>
        <w:tc>
          <w:tcPr>
            <w:tcW w:w="3493"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油漆涂刷后，漆膜超过规定时间仍未干燥，称为慢干。如果漆膜已形成，但仍有粘指现象，称为回粘。慢干和回粘都容易使漆膜表面碰坏或沾污，使工期延长，严重的还需要返工。</w:t>
            </w:r>
          </w:p>
        </w:tc>
        <w:tc>
          <w:tcPr>
            <w:tcW w:w="5145"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（1）漆膜有轻微的慢干或回粘现象，可加强通风，适当增加温度，加强保护，再观察数日，如还不能干燥结膜，再</w:t>
            </w:r>
            <w:r>
              <w:rPr>
                <w:rFonts w:hint="eastAsia" w:ascii="宋体" w:hAnsi="宋体" w:cs="宋体"/>
                <w:sz w:val="21"/>
                <w:szCs w:val="21"/>
                <w:lang w:eastAsia="zh-CN"/>
              </w:rPr>
              <w:t>做</w:t>
            </w:r>
            <w:r>
              <w:rPr>
                <w:rFonts w:hint="eastAsia" w:ascii="宋体" w:hAnsi="宋体" w:eastAsia="宋体" w:cs="宋体"/>
                <w:sz w:val="21"/>
                <w:szCs w:val="21"/>
              </w:rPr>
              <w:t>处理。</w:t>
            </w:r>
          </w:p>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（2）慢干或回粘较严重时，要用强溶剂洗掉刮净，再重新涂油漆。</w:t>
            </w:r>
          </w:p>
        </w:tc>
      </w:tr>
      <w:tr>
        <w:trPr>
          <w:trHeight w:val="454" w:hRule="atLeast"/>
          <w:jc w:val="center"/>
        </w:trPr>
        <w:tc>
          <w:tcPr>
            <w:tcW w:w="1157" w:type="dxa"/>
            <w:shd w:val="clear" w:color="auto" w:fill="auto"/>
            <w:vAlign w:val="center"/>
          </w:tcPr>
          <w:p>
            <w:pPr>
              <w:pStyle w:val="177"/>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漆膜起泡</w:t>
            </w:r>
          </w:p>
        </w:tc>
        <w:tc>
          <w:tcPr>
            <w:tcW w:w="3493"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漆膜干透后，表面突起大小不同的气泡，用手压感到有一定的弹性。气泡是在漆膜与物面基层，或面漆与底漆之间发生的。起泡地方的附着力为零，气泡外膜容易成片地脱落。</w:t>
            </w:r>
          </w:p>
        </w:tc>
        <w:tc>
          <w:tcPr>
            <w:tcW w:w="5145" w:type="dxa"/>
            <w:shd w:val="clear" w:color="auto" w:fill="auto"/>
            <w:vAlign w:val="center"/>
          </w:tcPr>
          <w:p>
            <w:pPr>
              <w:pStyle w:val="274"/>
              <w:keepNext w:val="0"/>
              <w:keepLines w:val="0"/>
              <w:suppressLineNumbers w:val="0"/>
              <w:shd w:val="clear"/>
              <w:kinsoku/>
              <w:wordWrap/>
              <w:bidi w:val="0"/>
              <w:snapToGrid w:val="0"/>
              <w:spacing w:before="0" w:beforeAutospacing="0" w:after="0" w:afterAutospacing="0" w:line="300" w:lineRule="auto"/>
              <w:ind w:left="0" w:right="0"/>
              <w:rPr>
                <w:rFonts w:hint="eastAsia" w:ascii="宋体" w:hAnsi="宋体" w:eastAsia="宋体" w:cs="宋体"/>
                <w:sz w:val="21"/>
                <w:szCs w:val="21"/>
              </w:rPr>
            </w:pPr>
            <w:r>
              <w:rPr>
                <w:rFonts w:hint="eastAsia" w:ascii="宋体" w:hAnsi="宋体" w:eastAsia="宋体" w:cs="宋体"/>
                <w:sz w:val="21"/>
                <w:szCs w:val="21"/>
              </w:rPr>
              <w:t>轻微起泡，待漆膜干透后用水砂纸打磨平整，再补面漆。严重的起泡，必须将漆膜铲除干净，待基层干透，针对起泡原因经处理后，再刷油漆。</w:t>
            </w:r>
          </w:p>
        </w:tc>
      </w:tr>
    </w:tbl>
    <w:p>
      <w:pPr>
        <w:pStyle w:val="5"/>
        <w:numPr>
          <w:ilvl w:val="0"/>
          <w:numId w:val="0"/>
        </w:numPr>
        <w:shd w:val="clear"/>
        <w:bidi w:val="0"/>
        <w:ind w:left="0" w:leftChars="0" w:firstLine="480" w:firstLineChars="200"/>
        <w:rPr>
          <w:rFonts w:hint="eastAsia"/>
        </w:rPr>
      </w:pPr>
      <w:bookmarkStart w:id="166" w:name="_Toc488445784"/>
      <w:bookmarkStart w:id="167" w:name="_Toc124320691"/>
      <w:bookmarkStart w:id="168" w:name="_Toc137709369"/>
      <w:r>
        <w:rPr>
          <w:rFonts w:hint="eastAsia" w:ascii="Times New Roman" w:hAnsi="Times New Roman" w:eastAsia="宋体" w:cs="Times New Roman"/>
          <w:b/>
          <w:bCs/>
          <w:kern w:val="2"/>
          <w:sz w:val="24"/>
          <w:szCs w:val="32"/>
          <w:lang w:val="en-US" w:eastAsia="zh-CN" w:bidi="ar-SA"/>
        </w:rPr>
        <w:t>六、</w:t>
      </w:r>
      <w:r>
        <w:rPr>
          <w:rFonts w:hint="eastAsia"/>
        </w:rPr>
        <w:t>给排水</w:t>
      </w:r>
      <w:bookmarkEnd w:id="166"/>
      <w:bookmarkEnd w:id="167"/>
      <w:bookmarkEnd w:id="168"/>
      <w:r>
        <w:rPr>
          <w:rFonts w:hint="eastAsia"/>
        </w:rPr>
        <w:t>工程质量通病及预防措施</w:t>
      </w:r>
    </w:p>
    <w:p>
      <w:pPr>
        <w:shd w:val="clear"/>
        <w:kinsoku/>
        <w:wordWrap/>
        <w:bidi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给排水工程质量通病、原因分析及防治措施</w:t>
      </w:r>
    </w:p>
    <w:tbl>
      <w:tblPr>
        <w:tblStyle w:val="54"/>
        <w:tblW w:w="9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40"/>
        <w:gridCol w:w="783"/>
        <w:gridCol w:w="2387"/>
        <w:gridCol w:w="5833"/>
      </w:tblGrid>
      <w:tr>
        <w:trPr>
          <w:trHeight w:val="0" w:hRule="atLeast"/>
          <w:tblHeader/>
          <w:jc w:val="center"/>
        </w:trPr>
        <w:tc>
          <w:tcPr>
            <w:tcW w:w="84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83"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项目</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现象</w:t>
            </w:r>
          </w:p>
        </w:tc>
        <w:tc>
          <w:tcPr>
            <w:tcW w:w="5833"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预防措施</w:t>
            </w:r>
          </w:p>
        </w:tc>
      </w:tr>
      <w:tr>
        <w:trPr>
          <w:trHeight w:val="0" w:hRule="atLeast"/>
          <w:jc w:val="center"/>
        </w:trPr>
        <w:tc>
          <w:tcPr>
            <w:tcW w:w="84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783"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管道制作安装</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螺纹不光或断丝缺扣</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由于套丝时扳牙进刀量太大、扳牙的牙刃不锐利、牙刃有损坏、切下的铁渣积存等原因所致，为了保证螺纹质量，套丝时宜采用自动套丝机，套丝加工次数为1～4次不等，DN15～DN32套2次，DN40～DN50套3次，DN70以上套4次，套完丝后采用标准螺纹规检验。</w:t>
            </w:r>
          </w:p>
        </w:tc>
      </w:tr>
      <w:tr>
        <w:trPr>
          <w:trHeight w:val="0" w:hRule="atLeast"/>
          <w:jc w:val="center"/>
        </w:trPr>
        <w:tc>
          <w:tcPr>
            <w:tcW w:w="84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783"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给排水管道坡度不均匀，有倒坡</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采用卷尺、线坠等工具检查保证管道坡度符合验收规范要求。</w:t>
            </w:r>
          </w:p>
        </w:tc>
      </w:tr>
      <w:tr>
        <w:trPr>
          <w:trHeight w:val="0" w:hRule="atLeast"/>
          <w:jc w:val="center"/>
        </w:trPr>
        <w:tc>
          <w:tcPr>
            <w:tcW w:w="84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783"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阀门安装</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安装前未</w:t>
            </w:r>
            <w:r>
              <w:rPr>
                <w:rFonts w:hint="eastAsia" w:ascii="宋体" w:hAnsi="宋体" w:eastAsia="宋体" w:cs="宋体"/>
                <w:sz w:val="21"/>
                <w:szCs w:val="21"/>
                <w:lang w:eastAsia="zh-CN"/>
              </w:rPr>
              <w:t>做</w:t>
            </w:r>
            <w:r>
              <w:rPr>
                <w:rFonts w:hint="eastAsia" w:ascii="宋体" w:hAnsi="宋体" w:eastAsia="宋体" w:cs="宋体"/>
                <w:sz w:val="21"/>
                <w:szCs w:val="21"/>
              </w:rPr>
              <w:t>强度和严密性试验</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同牌号、同型号、同规格的阀门附件抽检10%，且不小于1个，做强度和严密性试验，主干管上的起切断作用阀门应逐个</w:t>
            </w:r>
            <w:r>
              <w:rPr>
                <w:rFonts w:hint="eastAsia" w:ascii="宋体" w:hAnsi="宋体" w:cs="宋体"/>
                <w:sz w:val="21"/>
                <w:szCs w:val="21"/>
                <w:lang w:eastAsia="zh-CN"/>
              </w:rPr>
              <w:t>做</w:t>
            </w:r>
            <w:r>
              <w:rPr>
                <w:rFonts w:hint="eastAsia" w:ascii="宋体" w:hAnsi="宋体" w:eastAsia="宋体" w:cs="宋体"/>
                <w:sz w:val="21"/>
                <w:szCs w:val="21"/>
              </w:rPr>
              <w:t>强度和严密性试验。</w:t>
            </w:r>
          </w:p>
        </w:tc>
      </w:tr>
      <w:tr>
        <w:trPr>
          <w:trHeight w:val="0" w:hRule="atLeast"/>
          <w:jc w:val="center"/>
        </w:trPr>
        <w:tc>
          <w:tcPr>
            <w:tcW w:w="84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783"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法兰安装时法兰两端面平行度不够，紧固方法不符合要求</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两法兰端面互相平行，其偏差不大于法兰外径的1.5‰；拧紧螺栓时要对称交叉进行</w:t>
            </w:r>
          </w:p>
        </w:tc>
      </w:tr>
      <w:tr>
        <w:trPr>
          <w:trHeight w:val="0" w:hRule="atLeast"/>
          <w:jc w:val="center"/>
        </w:trPr>
        <w:tc>
          <w:tcPr>
            <w:tcW w:w="84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783"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卫生器具安装</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与洁具连接的给排水管路接口渗水</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检查渗水部位，重新更换与洁具连接的给水配件或排水栓；检查渗水部位，重新更换损坏管道附件。</w:t>
            </w:r>
          </w:p>
        </w:tc>
      </w:tr>
      <w:tr>
        <w:trPr>
          <w:trHeight w:val="0" w:hRule="atLeast"/>
          <w:jc w:val="center"/>
        </w:trPr>
        <w:tc>
          <w:tcPr>
            <w:tcW w:w="84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783"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卫生器具安装松动或水平、垂直度超差。</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安装洁具的支架位置、标高及牢固程度均符合安装的实际需要；器具安装前，需要求装修单位将不平整的墙面、地面按照要求修平整；器具安装时应用水平尺和线坠调平整再固定。</w:t>
            </w:r>
          </w:p>
        </w:tc>
      </w:tr>
      <w:tr>
        <w:trPr>
          <w:trHeight w:val="0" w:hRule="atLeast"/>
          <w:jc w:val="center"/>
        </w:trPr>
        <w:tc>
          <w:tcPr>
            <w:tcW w:w="84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783"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坐标和标高不准</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认真核对水平标高线、隔墙线及安装中心线及高度水平线的准确性；洁具与支架实物组合时，所量尺寸必须准确；安装支架时，核实好尺寸再固定。</w:t>
            </w:r>
          </w:p>
        </w:tc>
      </w:tr>
      <w:tr>
        <w:trPr>
          <w:trHeight w:val="0" w:hRule="atLeast"/>
          <w:jc w:val="center"/>
        </w:trPr>
        <w:tc>
          <w:tcPr>
            <w:tcW w:w="84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783"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地漏安装</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地漏安装标高偏高或偏低</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地漏在安装时应与装修单位密切配合，使地漏比周围地面低5mm，使地面水能顺利流入地漏。</w:t>
            </w:r>
          </w:p>
        </w:tc>
      </w:tr>
      <w:tr>
        <w:trPr>
          <w:trHeight w:val="0" w:hRule="atLeast"/>
          <w:jc w:val="center"/>
        </w:trPr>
        <w:tc>
          <w:tcPr>
            <w:tcW w:w="84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783"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管道冲洗</w:t>
            </w:r>
          </w:p>
        </w:tc>
        <w:tc>
          <w:tcPr>
            <w:tcW w:w="238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以系统水压试验后的泄水代替管路系统的冲洗试验</w:t>
            </w:r>
          </w:p>
        </w:tc>
        <w:tc>
          <w:tcPr>
            <w:tcW w:w="5833"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管路冲洗应单独进行，末端管路出水需达到目测及水质检验分析标准。</w:t>
            </w:r>
          </w:p>
        </w:tc>
      </w:tr>
    </w:tbl>
    <w:p>
      <w:pPr>
        <w:pStyle w:val="5"/>
        <w:numPr>
          <w:ilvl w:val="0"/>
          <w:numId w:val="0"/>
        </w:numPr>
        <w:shd w:val="clear"/>
        <w:bidi w:val="0"/>
        <w:ind w:left="0" w:leftChars="0" w:firstLine="480" w:firstLineChars="200"/>
        <w:rPr>
          <w:rFonts w:hint="eastAsia"/>
        </w:rPr>
      </w:pPr>
      <w:r>
        <w:rPr>
          <w:rFonts w:hint="eastAsia" w:ascii="Times New Roman" w:hAnsi="Times New Roman" w:eastAsia="宋体" w:cs="Times New Roman"/>
          <w:b/>
          <w:bCs/>
          <w:kern w:val="2"/>
          <w:sz w:val="24"/>
          <w:szCs w:val="32"/>
          <w:lang w:val="en-US" w:eastAsia="zh-CN" w:bidi="ar-SA"/>
        </w:rPr>
        <w:t>七、</w:t>
      </w:r>
      <w:r>
        <w:rPr>
          <w:rFonts w:hint="eastAsia"/>
        </w:rPr>
        <w:t>电气工程质量通病及预防措施</w:t>
      </w:r>
    </w:p>
    <w:p>
      <w:pPr>
        <w:shd w:val="clear"/>
        <w:kinsoku/>
        <w:wordWrap/>
        <w:bidi w:val="0"/>
        <w:snapToGrid w:val="0"/>
        <w:spacing w:line="300" w:lineRule="auto"/>
        <w:ind w:firstLine="560"/>
        <w:jc w:val="center"/>
        <w:rPr>
          <w:rFonts w:hint="eastAsia" w:ascii="宋体" w:hAnsi="宋体" w:eastAsia="宋体" w:cs="宋体"/>
          <w:sz w:val="24"/>
          <w:szCs w:val="24"/>
        </w:rPr>
      </w:pPr>
      <w:r>
        <w:rPr>
          <w:rFonts w:hint="eastAsia" w:ascii="宋体" w:hAnsi="宋体" w:eastAsia="宋体" w:cs="宋体"/>
          <w:sz w:val="24"/>
          <w:szCs w:val="24"/>
        </w:rPr>
        <w:t>电气工程质量通病、原因分析及防治措施</w:t>
      </w:r>
    </w:p>
    <w:tbl>
      <w:tblPr>
        <w:tblStyle w:val="54"/>
        <w:tblW w:w="98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75"/>
        <w:gridCol w:w="800"/>
        <w:gridCol w:w="3000"/>
        <w:gridCol w:w="5207"/>
      </w:tblGrid>
      <w:tr>
        <w:trPr>
          <w:tblHeader/>
          <w:jc w:val="center"/>
        </w:trPr>
        <w:tc>
          <w:tcPr>
            <w:tcW w:w="875"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8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项目</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现象</w:t>
            </w:r>
          </w:p>
        </w:tc>
        <w:tc>
          <w:tcPr>
            <w:tcW w:w="5207"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预防措施</w:t>
            </w:r>
          </w:p>
        </w:tc>
      </w:tr>
      <w:tr>
        <w:trPr>
          <w:trHeight w:val="788" w:hRule="atLeast"/>
          <w:jc w:val="center"/>
        </w:trPr>
        <w:tc>
          <w:tcPr>
            <w:tcW w:w="875"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8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电管敷设</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管进配电箱不顺直，不平齐；未锁紧固定</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施工前对操作工人进行培训，配管至箱前先将管路调整顺直；加大施工检查力度。</w:t>
            </w:r>
          </w:p>
        </w:tc>
      </w:tr>
      <w:tr>
        <w:trPr>
          <w:jc w:val="center"/>
        </w:trPr>
        <w:tc>
          <w:tcPr>
            <w:tcW w:w="875"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80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导线敷设连接</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与接线端连接时，一个端子上连接多根导线</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接线柱和接线端子上的导线连接只宜1根，如需2根中间加平垫片，禁止3根及以上导线接在同一接线柱上。</w:t>
            </w:r>
          </w:p>
        </w:tc>
      </w:tr>
      <w:tr>
        <w:trPr>
          <w:jc w:val="center"/>
        </w:trPr>
        <w:tc>
          <w:tcPr>
            <w:tcW w:w="875"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80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线头裸露，线槽内导线排列不整齐</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严格按照工艺要求进行导线连接；线槽内导线按回路绑扎成束固定。</w:t>
            </w:r>
          </w:p>
        </w:tc>
      </w:tr>
      <w:tr>
        <w:trPr>
          <w:trHeight w:val="922" w:hRule="atLeast"/>
          <w:jc w:val="center"/>
        </w:trPr>
        <w:tc>
          <w:tcPr>
            <w:tcW w:w="875"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8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配电箱安装</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箱体开孔不符合要求，破坏箱体美观</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订货时严格标定留孔规格、数量，厂家按规格、数量生产；如需开孔必须采用专用机械。</w:t>
            </w:r>
          </w:p>
        </w:tc>
      </w:tr>
      <w:tr>
        <w:trPr>
          <w:jc w:val="center"/>
        </w:trPr>
        <w:tc>
          <w:tcPr>
            <w:tcW w:w="875"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80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开关插座安装接线</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面板污染、不平直、高度不统一、与墙体间有缝隙</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与接线盒固定牢靠；与土建密切配合，在最后一遍油漆前安装开关插座；用水平尺调校水平，保证安装高度的统一。</w:t>
            </w:r>
          </w:p>
        </w:tc>
      </w:tr>
      <w:tr>
        <w:trPr>
          <w:jc w:val="center"/>
        </w:trPr>
        <w:tc>
          <w:tcPr>
            <w:tcW w:w="875"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80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导线压接不牢、接线不规范</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使用接线钮拧接并线，向开关插座甩出一根导线，以保单根导线进入线孔；插入线孔时导线拗成双股，用螺丝顶紧、拧紧。</w:t>
            </w:r>
          </w:p>
        </w:tc>
      </w:tr>
      <w:tr>
        <w:trPr>
          <w:trHeight w:val="798" w:hRule="atLeast"/>
          <w:jc w:val="center"/>
        </w:trPr>
        <w:tc>
          <w:tcPr>
            <w:tcW w:w="875"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8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灯具安装</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成排灯具的水平度、直线度偏差较大</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施工中拉线定位，使灯具在纵向、横向、斜向均成直线，偏差不大于5mm。</w:t>
            </w:r>
          </w:p>
        </w:tc>
      </w:tr>
      <w:tr>
        <w:trPr>
          <w:trHeight w:val="853" w:hRule="atLeast"/>
          <w:jc w:val="center"/>
        </w:trPr>
        <w:tc>
          <w:tcPr>
            <w:tcW w:w="875"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6</w:t>
            </w:r>
          </w:p>
        </w:tc>
        <w:tc>
          <w:tcPr>
            <w:tcW w:w="8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电缆安装</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电缆无</w:t>
            </w:r>
            <w:r>
              <w:rPr>
                <w:rFonts w:hint="eastAsia" w:ascii="宋体" w:hAnsi="宋体" w:eastAsia="宋体" w:cs="宋体"/>
                <w:sz w:val="21"/>
                <w:szCs w:val="21"/>
                <w:lang w:eastAsia="zh-CN"/>
              </w:rPr>
              <w:t>标识牌</w:t>
            </w:r>
            <w:r>
              <w:rPr>
                <w:rFonts w:hint="eastAsia" w:ascii="宋体" w:hAnsi="宋体" w:eastAsia="宋体" w:cs="宋体"/>
                <w:sz w:val="21"/>
                <w:szCs w:val="21"/>
              </w:rPr>
              <w:t>，电缆敷设杂乱</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在电缆终端头、拐弯处、夹层、竖井的两端等挂标牌；深化设计时排好电缆在桥架内的排布，现场施工时按顺序敷设。</w:t>
            </w:r>
          </w:p>
        </w:tc>
      </w:tr>
      <w:tr>
        <w:trPr>
          <w:jc w:val="center"/>
        </w:trPr>
        <w:tc>
          <w:tcPr>
            <w:tcW w:w="875"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7</w:t>
            </w:r>
          </w:p>
        </w:tc>
        <w:tc>
          <w:tcPr>
            <w:tcW w:w="800" w:type="dxa"/>
            <w:vMerge w:val="restart"/>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接地安装</w:t>
            </w: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电管敷设时跨接地线串接</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施工前使用图解的方式对操作工人进行跨接地线的专项培训，让每名施工人员明白什么是串接和并接，施工过程中加大检查力度。</w:t>
            </w:r>
          </w:p>
        </w:tc>
      </w:tr>
      <w:tr>
        <w:trPr>
          <w:trHeight w:val="330" w:hRule="atLeast"/>
          <w:jc w:val="center"/>
        </w:trPr>
        <w:tc>
          <w:tcPr>
            <w:tcW w:w="875"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800" w:type="dxa"/>
            <w:vMerge w:val="continue"/>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p>
        </w:tc>
        <w:tc>
          <w:tcPr>
            <w:tcW w:w="3000" w:type="dxa"/>
            <w:shd w:val="clear" w:color="auto" w:fill="auto"/>
            <w:vAlign w:val="center"/>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center"/>
              <w:rPr>
                <w:rFonts w:hint="eastAsia" w:ascii="宋体" w:hAnsi="宋体" w:eastAsia="宋体" w:cs="宋体"/>
                <w:sz w:val="21"/>
                <w:szCs w:val="21"/>
              </w:rPr>
            </w:pPr>
            <w:r>
              <w:rPr>
                <w:rFonts w:hint="eastAsia" w:ascii="宋体" w:hAnsi="宋体" w:eastAsia="宋体" w:cs="宋体"/>
                <w:sz w:val="21"/>
                <w:szCs w:val="21"/>
              </w:rPr>
              <w:t>接地端子压接不牢固</w:t>
            </w:r>
          </w:p>
        </w:tc>
        <w:tc>
          <w:tcPr>
            <w:tcW w:w="5207" w:type="dxa"/>
            <w:shd w:val="clear" w:color="auto" w:fill="auto"/>
          </w:tcPr>
          <w:p>
            <w:pPr>
              <w:keepNext w:val="0"/>
              <w:keepLines w:val="0"/>
              <w:suppressLineNumbers w:val="0"/>
              <w:shd w:val="clear"/>
              <w:kinsoku/>
              <w:wordWrap/>
              <w:bidi w:val="0"/>
              <w:adjustRightInd w:val="0"/>
              <w:snapToGrid w:val="0"/>
              <w:spacing w:before="0" w:beforeAutospacing="0" w:after="0" w:afterAutospacing="0" w:line="300" w:lineRule="auto"/>
              <w:ind w:left="0" w:right="0" w:firstLine="0" w:firstLineChars="0"/>
              <w:jc w:val="left"/>
              <w:rPr>
                <w:rFonts w:hint="eastAsia" w:ascii="宋体" w:hAnsi="宋体" w:eastAsia="宋体" w:cs="宋体"/>
                <w:sz w:val="21"/>
                <w:szCs w:val="21"/>
              </w:rPr>
            </w:pPr>
            <w:r>
              <w:rPr>
                <w:rFonts w:hint="eastAsia" w:ascii="宋体" w:hAnsi="宋体" w:eastAsia="宋体" w:cs="宋体"/>
                <w:sz w:val="21"/>
                <w:szCs w:val="21"/>
              </w:rPr>
              <w:t>施工前进行技术交底，施工完成后进行测试。</w:t>
            </w:r>
          </w:p>
        </w:tc>
      </w:tr>
      <w:bookmarkEnd w:id="90"/>
      <w:bookmarkEnd w:id="91"/>
      <w:bookmarkEnd w:id="92"/>
      <w:bookmarkEnd w:id="93"/>
    </w:tbl>
    <w:p>
      <w:pPr>
        <w:pStyle w:val="3"/>
        <w:shd w:val="clear"/>
        <w:bidi w:val="0"/>
      </w:pPr>
      <w:bookmarkStart w:id="169" w:name="_Toc12541"/>
      <w:bookmarkStart w:id="170" w:name="_Toc32176"/>
      <w:r>
        <w:rPr>
          <w:rFonts w:hint="eastAsia"/>
          <w:lang w:val="en-US" w:eastAsia="zh-CN"/>
        </w:rPr>
        <w:t xml:space="preserve">第十五章  </w:t>
      </w:r>
      <w:r>
        <w:rPr>
          <w:rFonts w:hint="eastAsia"/>
        </w:rPr>
        <w:t>技术管理措施</w:t>
      </w:r>
      <w:bookmarkEnd w:id="169"/>
      <w:bookmarkEnd w:id="170"/>
    </w:p>
    <w:p>
      <w:pPr>
        <w:pStyle w:val="4"/>
        <w:numPr>
          <w:ilvl w:val="0"/>
          <w:numId w:val="16"/>
        </w:numPr>
        <w:shd w:val="clear"/>
        <w:bidi w:val="0"/>
      </w:pPr>
      <w:bookmarkStart w:id="171" w:name="_Toc23402"/>
      <w:r>
        <w:rPr>
          <w:rFonts w:hint="eastAsia"/>
          <w:lang w:val="en-US" w:eastAsia="zh-CN"/>
        </w:rPr>
        <w:t xml:space="preserve"> </w:t>
      </w:r>
      <w:bookmarkStart w:id="172" w:name="_Toc27208"/>
      <w:r>
        <w:rPr>
          <w:rFonts w:hint="eastAsia"/>
        </w:rPr>
        <w:t>项目技术管理人员设置</w:t>
      </w:r>
      <w:bookmarkEnd w:id="171"/>
      <w:bookmarkEnd w:id="172"/>
    </w:p>
    <w:p>
      <w:pPr>
        <w:shd w:val="clear"/>
        <w:spacing w:line="360" w:lineRule="auto"/>
        <w:ind w:firstLine="480" w:firstLineChars="200"/>
        <w:rPr>
          <w:rFonts w:ascii="宋体" w:hAnsi="宋体" w:cs="宋体"/>
        </w:rPr>
      </w:pPr>
      <w:r>
        <w:rPr>
          <w:rFonts w:hint="eastAsia" w:ascii="宋体" w:hAnsi="宋体" w:cs="宋体"/>
        </w:rPr>
        <w:t>为了规范专项施工方</w:t>
      </w:r>
      <w:r>
        <w:rPr>
          <w:rFonts w:hint="eastAsia" w:ascii="宋体" w:hAnsi="宋体" w:cs="宋体"/>
          <w:lang w:val="en-US" w:eastAsia="zh-CN"/>
        </w:rPr>
        <w:t>案</w:t>
      </w:r>
      <w:r>
        <w:rPr>
          <w:rFonts w:hint="eastAsia" w:ascii="宋体" w:hAnsi="宋体" w:cs="宋体"/>
        </w:rPr>
        <w:t>和安全技术措施的编制和实施，防止安全事故的发生，消除职业病和职业中毒危害，保护员工在生产过程中的安全与健康。设置项目技术管理人员及职责：</w:t>
      </w:r>
    </w:p>
    <w:p>
      <w:pPr>
        <w:shd w:val="clear"/>
        <w:spacing w:line="360" w:lineRule="auto"/>
        <w:ind w:firstLine="480" w:firstLineChars="200"/>
        <w:rPr>
          <w:rFonts w:ascii="宋体" w:hAnsi="宋体" w:cs="宋体"/>
        </w:rPr>
      </w:pPr>
      <w:r>
        <w:rPr>
          <w:rFonts w:hint="eastAsia" w:ascii="宋体" w:hAnsi="宋体" w:cs="宋体"/>
        </w:rPr>
        <w:t>1、公司工程总工程师负责专项施工，方案和安全技术措施的审批。</w:t>
      </w:r>
    </w:p>
    <w:p>
      <w:pPr>
        <w:shd w:val="clear"/>
        <w:spacing w:line="360" w:lineRule="auto"/>
        <w:ind w:firstLine="480" w:firstLineChars="200"/>
        <w:rPr>
          <w:rFonts w:ascii="宋体" w:hAnsi="宋体" w:cs="宋体"/>
        </w:rPr>
      </w:pPr>
      <w:r>
        <w:rPr>
          <w:rFonts w:hint="eastAsia" w:ascii="宋体" w:hAnsi="宋体" w:cs="宋体"/>
        </w:rPr>
        <w:t>2、项目经理负责组织制定施工组织设计（或施工方案）中安全技术措施。</w:t>
      </w:r>
    </w:p>
    <w:p>
      <w:pPr>
        <w:shd w:val="clear"/>
        <w:spacing w:line="360" w:lineRule="auto"/>
        <w:ind w:firstLine="480" w:firstLineChars="200"/>
        <w:rPr>
          <w:rFonts w:ascii="宋体" w:hAnsi="宋体" w:cs="宋体"/>
        </w:rPr>
      </w:pPr>
      <w:r>
        <w:rPr>
          <w:rFonts w:hint="eastAsia" w:ascii="宋体" w:hAnsi="宋体" w:cs="宋体"/>
        </w:rPr>
        <w:t>3、项目部技术负责人负责组织项目部技术人员编制各种性幻想安全技术方案。</w:t>
      </w:r>
    </w:p>
    <w:p>
      <w:pPr>
        <w:shd w:val="clear"/>
        <w:spacing w:line="360" w:lineRule="auto"/>
        <w:ind w:firstLine="480" w:firstLineChars="200"/>
        <w:rPr>
          <w:rFonts w:ascii="宋体" w:hAnsi="宋体" w:cs="宋体"/>
        </w:rPr>
      </w:pPr>
      <w:r>
        <w:rPr>
          <w:rFonts w:hint="eastAsia" w:ascii="宋体" w:hAnsi="宋体" w:cs="宋体"/>
        </w:rPr>
        <w:t>4、项目部各专业技术人员编制安全技术方案，并负责按分项、专项工程进行技术交底。</w:t>
      </w:r>
    </w:p>
    <w:p>
      <w:pPr>
        <w:pStyle w:val="53"/>
        <w:shd w:val="clear"/>
        <w:spacing w:after="0" w:line="360" w:lineRule="auto"/>
        <w:ind w:left="0" w:leftChars="0" w:firstLine="480"/>
        <w:rPr>
          <w:rFonts w:ascii="宋体" w:hAnsi="宋体" w:cs="宋体"/>
          <w:sz w:val="24"/>
        </w:rPr>
      </w:pPr>
      <w:r>
        <w:rPr>
          <w:rFonts w:hint="eastAsia" w:ascii="宋体" w:hAnsi="宋体" w:cs="宋体"/>
          <w:sz w:val="24"/>
        </w:rPr>
        <w:t>5、公司安全管理科和项目部安全员负责安全技术措施落实情况的监督与检查。</w:t>
      </w:r>
    </w:p>
    <w:p>
      <w:pPr>
        <w:pStyle w:val="4"/>
        <w:shd w:val="clear"/>
        <w:bidi w:val="0"/>
      </w:pPr>
      <w:bookmarkStart w:id="173" w:name="_Toc2204"/>
      <w:bookmarkStart w:id="174" w:name="_Toc4050"/>
      <w:r>
        <w:rPr>
          <w:rFonts w:hint="eastAsia"/>
        </w:rPr>
        <w:t xml:space="preserve">第二节 </w:t>
      </w:r>
      <w:r>
        <w:rPr>
          <w:rFonts w:hint="eastAsia"/>
          <w:lang w:val="en-US" w:eastAsia="zh-CN"/>
        </w:rPr>
        <w:t xml:space="preserve"> </w:t>
      </w:r>
      <w:r>
        <w:rPr>
          <w:rFonts w:hint="eastAsia"/>
        </w:rPr>
        <w:t>专项施工方案管理措施</w:t>
      </w:r>
      <w:bookmarkEnd w:id="173"/>
      <w:bookmarkEnd w:id="174"/>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一、</w:t>
      </w:r>
      <w:r>
        <w:rPr>
          <w:rFonts w:hint="eastAsia"/>
        </w:rPr>
        <w:t>安全技术措施的一般要求</w:t>
      </w:r>
    </w:p>
    <w:p>
      <w:pPr>
        <w:shd w:val="clear"/>
        <w:spacing w:line="360" w:lineRule="auto"/>
        <w:ind w:firstLine="480" w:firstLineChars="200"/>
        <w:rPr>
          <w:rFonts w:ascii="宋体" w:hAnsi="宋体" w:cs="宋体"/>
        </w:rPr>
      </w:pPr>
      <w:r>
        <w:rPr>
          <w:rFonts w:hint="eastAsia" w:ascii="宋体" w:hAnsi="宋体" w:cs="宋体"/>
        </w:rPr>
        <w:t>1、公司在施工组织设计中应编制安全技术措施，按要求编制施工现场专项施工方案，并附验算结果。</w:t>
      </w:r>
    </w:p>
    <w:p>
      <w:pPr>
        <w:shd w:val="clear"/>
        <w:spacing w:line="360" w:lineRule="auto"/>
        <w:ind w:firstLine="480" w:firstLineChars="200"/>
        <w:rPr>
          <w:rFonts w:ascii="宋体" w:hAnsi="宋体" w:cs="宋体"/>
        </w:rPr>
      </w:pPr>
      <w:r>
        <w:rPr>
          <w:rFonts w:hint="eastAsia" w:ascii="宋体" w:hAnsi="宋体" w:cs="宋体"/>
        </w:rPr>
        <w:t>2、施工组织设计和专项施工方案应经公司技术负责人、总监理工程师签字后实施。</w:t>
      </w:r>
    </w:p>
    <w:p>
      <w:pPr>
        <w:shd w:val="clear"/>
        <w:spacing w:line="360" w:lineRule="auto"/>
        <w:ind w:firstLine="480" w:firstLineChars="200"/>
        <w:rPr>
          <w:rFonts w:ascii="宋体" w:hAnsi="宋体" w:cs="宋体"/>
        </w:rPr>
      </w:pPr>
      <w:r>
        <w:rPr>
          <w:rFonts w:hint="eastAsia" w:ascii="宋体" w:hAnsi="宋体" w:cs="宋体"/>
        </w:rPr>
        <w:t>3、施工组织设计中的安全技术措施和专项施工方案由专职安全生产管理人员现场监督。</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二、</w:t>
      </w:r>
      <w:r>
        <w:rPr>
          <w:rFonts w:hint="eastAsia"/>
        </w:rPr>
        <w:t>工程安全技术措施和专项施工方案</w:t>
      </w:r>
    </w:p>
    <w:p>
      <w:pPr>
        <w:shd w:val="clear"/>
        <w:spacing w:line="360" w:lineRule="auto"/>
        <w:ind w:firstLine="480" w:firstLineChars="200"/>
        <w:rPr>
          <w:rFonts w:ascii="宋体" w:hAnsi="宋体" w:cs="宋体"/>
        </w:rPr>
      </w:pPr>
      <w:r>
        <w:rPr>
          <w:rFonts w:hint="eastAsia" w:ascii="宋体" w:hAnsi="宋体" w:cs="宋体"/>
        </w:rPr>
        <w:t>1、所有工程项目必须在施工组织设计中根据工程特点和具体情况制定相应的安全技术措施。</w:t>
      </w:r>
    </w:p>
    <w:p>
      <w:pPr>
        <w:shd w:val="clear"/>
        <w:spacing w:line="360" w:lineRule="auto"/>
        <w:ind w:firstLine="480" w:firstLineChars="200"/>
        <w:rPr>
          <w:rFonts w:ascii="宋体" w:hAnsi="宋体" w:cs="宋体"/>
        </w:rPr>
      </w:pPr>
      <w:r>
        <w:rPr>
          <w:rFonts w:hint="eastAsia" w:ascii="宋体" w:hAnsi="宋体" w:cs="宋体"/>
        </w:rPr>
        <w:t>2、按照有关标准要求，对下列专业性较强的工程项目，单独编制专项施工方案或安全技术措施∶土石方开挖工程；模板工程；脚手架工程；施工临时用电工程；物料提升机安装与拆除；外用电梯安装与拆除；塔式起重机；起重吊装工程；"三宝、四口"安全防护；拆除、爆破工程。</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三、</w:t>
      </w:r>
      <w:r>
        <w:rPr>
          <w:rFonts w:hint="eastAsia"/>
        </w:rPr>
        <w:t>季节性安全技术措施</w:t>
      </w:r>
    </w:p>
    <w:p>
      <w:pPr>
        <w:shd w:val="clear"/>
        <w:spacing w:line="360" w:lineRule="auto"/>
        <w:ind w:firstLine="480" w:firstLineChars="200"/>
        <w:rPr>
          <w:rFonts w:ascii="宋体" w:hAnsi="宋体" w:cs="宋体"/>
        </w:rPr>
      </w:pPr>
      <w:r>
        <w:rPr>
          <w:rFonts w:hint="eastAsia" w:ascii="宋体" w:hAnsi="宋体" w:cs="宋体"/>
        </w:rPr>
        <w:t>公司工程管理部门应组织</w:t>
      </w:r>
      <w:r>
        <w:rPr>
          <w:rFonts w:hint="eastAsia" w:ascii="宋体" w:hAnsi="宋体" w:cs="宋体"/>
          <w:lang w:eastAsia="zh-CN"/>
        </w:rPr>
        <w:t>项目部</w:t>
      </w:r>
      <w:r>
        <w:rPr>
          <w:rFonts w:hint="eastAsia" w:ascii="宋体" w:hAnsi="宋体" w:cs="宋体"/>
        </w:rPr>
        <w:t>根据不同季节的施工特点编制有针对性的季节性施工安全技术措施；在高温、严冬和阴雨天气中施工的工程，应单独编制季节性施工.安全技术措施。</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四、</w:t>
      </w:r>
      <w:r>
        <w:rPr>
          <w:rFonts w:hint="eastAsia"/>
        </w:rPr>
        <w:t>安全施工方案和安全技术措施编制和审核要求</w:t>
      </w:r>
    </w:p>
    <w:p>
      <w:pPr>
        <w:shd w:val="clear"/>
        <w:spacing w:line="360" w:lineRule="auto"/>
        <w:ind w:firstLine="480" w:firstLineChars="200"/>
        <w:rPr>
          <w:rFonts w:ascii="宋体" w:hAnsi="宋体" w:cs="宋体"/>
        </w:rPr>
      </w:pPr>
      <w:r>
        <w:rPr>
          <w:rFonts w:hint="eastAsia" w:ascii="宋体" w:hAnsi="宋体" w:cs="宋体"/>
        </w:rPr>
        <w:t>1、安全施工方案和安全技术方案的编制应符合以下要求∶在工程施工前编制；由技术人员编制；针对工程不同的特点和不同的施工方法，结合劳力组织、施工现场、周边环境及季节施工特点；应充分考虑到人、机、物、环境因素。</w:t>
      </w:r>
    </w:p>
    <w:p>
      <w:pPr>
        <w:shd w:val="clear"/>
        <w:spacing w:line="360" w:lineRule="auto"/>
        <w:ind w:firstLine="480" w:firstLineChars="200"/>
        <w:rPr>
          <w:rFonts w:ascii="宋体" w:hAnsi="宋体" w:cs="宋体"/>
        </w:rPr>
      </w:pPr>
      <w:r>
        <w:rPr>
          <w:rFonts w:hint="eastAsia" w:ascii="宋体" w:hAnsi="宋体" w:cs="宋体"/>
        </w:rPr>
        <w:t>2、危险性较大的分部分项工程安全技术方案由公司各职能部门进行会签。会签后，技术负责人方可批准。</w:t>
      </w:r>
    </w:p>
    <w:p>
      <w:pPr>
        <w:shd w:val="clear"/>
        <w:spacing w:line="360" w:lineRule="auto"/>
        <w:ind w:firstLine="480" w:firstLineChars="200"/>
        <w:rPr>
          <w:rFonts w:ascii="宋体" w:hAnsi="宋体" w:cs="宋体"/>
        </w:rPr>
      </w:pPr>
      <w:r>
        <w:rPr>
          <w:rFonts w:hint="eastAsia" w:ascii="宋体" w:hAnsi="宋体" w:cs="宋体"/>
        </w:rPr>
        <w:t>3、安全施工方案和安全技术措施的实施应符合以下要求∶经过审批的方案（安全技术措施）不得随意修改；因施工条件发生变化需对安全施工方案（安全技术措施）进行修订时，应按照公司《文件控制程序》中规定的程序，由修改人提出修改申请，并按照规定的程序重新审批。适用时，重新论证审查。</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五、</w:t>
      </w:r>
      <w:r>
        <w:rPr>
          <w:rFonts w:hint="eastAsia"/>
        </w:rPr>
        <w:t>安全技术措施的内容</w:t>
      </w:r>
    </w:p>
    <w:p>
      <w:pPr>
        <w:shd w:val="clear"/>
        <w:spacing w:line="360" w:lineRule="auto"/>
        <w:ind w:firstLine="480" w:firstLineChars="200"/>
        <w:rPr>
          <w:rFonts w:ascii="宋体" w:hAnsi="宋体" w:cs="宋体"/>
        </w:rPr>
      </w:pPr>
      <w:r>
        <w:rPr>
          <w:rFonts w:hint="eastAsia" w:ascii="宋体" w:hAnsi="宋体" w:cs="宋体"/>
        </w:rPr>
        <w:t>安全技术措施应反映以下有关内容∶编制依据；工程或分项工程的基本情况；主要危险源辨识及风险评价；安全施工的技术措施；防止职业病和职业中毒的安全技术措施；应建立的各种记录（包括表格）；适用时的计算书和施工详图∶</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六、</w:t>
      </w:r>
      <w:r>
        <w:rPr>
          <w:rFonts w:hint="eastAsia"/>
        </w:rPr>
        <w:t>安全技术措施的编制、审批与论证</w:t>
      </w:r>
    </w:p>
    <w:p>
      <w:pPr>
        <w:shd w:val="clear"/>
        <w:spacing w:line="360" w:lineRule="auto"/>
        <w:ind w:firstLine="480" w:firstLineChars="200"/>
        <w:rPr>
          <w:rFonts w:ascii="宋体" w:hAnsi="宋体" w:cs="宋体"/>
        </w:rPr>
      </w:pPr>
      <w:r>
        <w:rPr>
          <w:rFonts w:hint="eastAsia" w:ascii="宋体" w:hAnsi="宋体" w:cs="宋体"/>
        </w:rPr>
        <w:t>1、施工组织设计或施工方案中的安全技术措施由工程管理科编写，公司主管技术的副总或总工程师审批；</w:t>
      </w:r>
    </w:p>
    <w:p>
      <w:pPr>
        <w:shd w:val="clear"/>
        <w:spacing w:line="360" w:lineRule="auto"/>
        <w:ind w:firstLine="480" w:firstLineChars="200"/>
        <w:rPr>
          <w:rFonts w:ascii="宋体" w:hAnsi="宋体" w:cs="宋体"/>
        </w:rPr>
      </w:pPr>
      <w:r>
        <w:rPr>
          <w:rFonts w:hint="eastAsia" w:ascii="宋体" w:hAnsi="宋体" w:cs="宋体"/>
        </w:rPr>
        <w:t>2、各个专项的安全技术措施（包括季节安全技术措施）由项目部组织编制，</w:t>
      </w:r>
    </w:p>
    <w:p>
      <w:pPr>
        <w:shd w:val="clear"/>
        <w:spacing w:line="360" w:lineRule="auto"/>
        <w:rPr>
          <w:rFonts w:ascii="宋体" w:hAnsi="宋体" w:cs="宋体"/>
        </w:rPr>
      </w:pPr>
      <w:r>
        <w:rPr>
          <w:rFonts w:hint="eastAsia" w:ascii="宋体" w:hAnsi="宋体" w:cs="宋体"/>
        </w:rPr>
        <w:t>报公司工程管理科审核，公司技术负责人批准。报监理单位总监理工程师确认。</w:t>
      </w:r>
    </w:p>
    <w:p>
      <w:pPr>
        <w:shd w:val="clear"/>
        <w:spacing w:line="360" w:lineRule="auto"/>
        <w:rPr>
          <w:rFonts w:ascii="宋体" w:hAnsi="宋体" w:cs="宋体"/>
        </w:rPr>
      </w:pPr>
      <w:r>
        <w:rPr>
          <w:rFonts w:hint="eastAsia" w:ascii="宋体" w:hAnsi="宋体" w:cs="宋体"/>
        </w:rPr>
        <w:t>3、</w:t>
      </w:r>
      <w:r>
        <w:rPr>
          <w:rFonts w:hint="eastAsia" w:ascii="宋体" w:hAnsi="宋体" w:cs="宋体"/>
          <w:lang w:val="en-US" w:eastAsia="zh-CN"/>
        </w:rPr>
        <w:t>本</w:t>
      </w:r>
      <w:r>
        <w:rPr>
          <w:rFonts w:hint="eastAsia" w:ascii="宋体" w:hAnsi="宋体" w:cs="宋体"/>
        </w:rPr>
        <w:t>工程中涉及深基坑、高大模板工程的专项施工方案，</w:t>
      </w:r>
      <w:r>
        <w:rPr>
          <w:rFonts w:hint="eastAsia" w:ascii="宋体" w:hAnsi="宋体" w:cs="宋体"/>
          <w:lang w:val="en-US" w:eastAsia="zh-CN"/>
        </w:rPr>
        <w:t>应按照要求组织进行专家论证</w:t>
      </w:r>
      <w:r>
        <w:rPr>
          <w:rFonts w:hint="eastAsia" w:ascii="宋体" w:hAnsi="宋体" w:cs="宋体"/>
        </w:rPr>
        <w:t>。专家组应将论证审查的结果形成书面的论证审查报告。公司将论证审查报告作为安全专项施工方案的附件，并根据论证审查报告对专项施工方案进行完善，按照审批程序审批后，严格按方案实施。</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七、</w:t>
      </w:r>
      <w:r>
        <w:rPr>
          <w:rFonts w:hint="eastAsia"/>
        </w:rPr>
        <w:t>安全技术措施的交底与实施</w:t>
      </w:r>
    </w:p>
    <w:p>
      <w:pPr>
        <w:shd w:val="clear"/>
        <w:spacing w:line="360" w:lineRule="auto"/>
        <w:ind w:firstLine="480" w:firstLineChars="200"/>
        <w:rPr>
          <w:rFonts w:ascii="宋体" w:hAnsi="宋体" w:cs="宋体"/>
        </w:rPr>
      </w:pPr>
      <w:r>
        <w:rPr>
          <w:rFonts w:hint="eastAsia" w:ascii="宋体" w:hAnsi="宋体" w:cs="宋体"/>
        </w:rPr>
        <w:t>1、安全技术措施在实施前，由项目部技术负责人或技术人员向作业班组或作业人员进行安全技术交底。安全技术交底应采用书面形式，双方签字确认。</w:t>
      </w:r>
    </w:p>
    <w:p>
      <w:pPr>
        <w:shd w:val="clear"/>
        <w:spacing w:line="360" w:lineRule="auto"/>
        <w:ind w:firstLine="480" w:firstLineChars="200"/>
        <w:rPr>
          <w:rFonts w:ascii="宋体" w:hAnsi="宋体" w:cs="宋体"/>
        </w:rPr>
      </w:pPr>
      <w:r>
        <w:rPr>
          <w:rFonts w:hint="eastAsia" w:ascii="宋体" w:hAnsi="宋体" w:cs="宋体"/>
        </w:rPr>
        <w:t>2、安全技术措施交底应包括以下内容∶作业项目的技术要求和具体做法；本项目作业的特点和危险源∶针对危险源的具体预防措施；应注意的安全事项；相应的安全操作规程和标准；发生事故后应及时采取的避险和急救措施。</w:t>
      </w:r>
    </w:p>
    <w:p>
      <w:pPr>
        <w:shd w:val="clear"/>
        <w:spacing w:line="360" w:lineRule="auto"/>
        <w:ind w:firstLine="480" w:firstLineChars="200"/>
        <w:rPr>
          <w:rFonts w:ascii="宋体" w:hAnsi="宋体" w:cs="宋体"/>
        </w:rPr>
      </w:pPr>
      <w:r>
        <w:rPr>
          <w:rFonts w:hint="eastAsia" w:ascii="宋体" w:hAnsi="宋体" w:cs="宋体"/>
        </w:rPr>
        <w:t>3、安全技术措施由项目部组织具体实施，工程管理科负责监督落实。在实施中，应按照公司具体要求进行检查，发现问题及时予以整改。</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八、</w:t>
      </w:r>
      <w:r>
        <w:rPr>
          <w:rFonts w:hint="eastAsia"/>
        </w:rPr>
        <w:t>安全技术措施落实的验收</w:t>
      </w:r>
    </w:p>
    <w:p>
      <w:pPr>
        <w:shd w:val="clear"/>
        <w:spacing w:line="360" w:lineRule="auto"/>
        <w:ind w:firstLine="480" w:firstLineChars="200"/>
        <w:rPr>
          <w:rFonts w:ascii="宋体" w:hAnsi="宋体" w:cs="宋体"/>
        </w:rPr>
      </w:pPr>
      <w:r>
        <w:rPr>
          <w:rFonts w:hint="eastAsia" w:ascii="宋体" w:hAnsi="宋体" w:cs="宋体"/>
        </w:rPr>
        <w:t>各项安全技术措施落实后由技术措施的落实单位（项目部）组织进行验收。验收记录按国家、行业以及公司的相关要求填写。</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九、</w:t>
      </w:r>
      <w:r>
        <w:rPr>
          <w:rFonts w:hint="eastAsia"/>
        </w:rPr>
        <w:t>安全技术措施实施情况的监督检查</w:t>
      </w:r>
    </w:p>
    <w:p>
      <w:pPr>
        <w:shd w:val="clear"/>
        <w:spacing w:line="360" w:lineRule="auto"/>
        <w:ind w:firstLine="480" w:firstLineChars="200"/>
        <w:rPr>
          <w:rFonts w:hint="eastAsia" w:ascii="宋体" w:hAnsi="宋体" w:cs="宋体"/>
        </w:rPr>
      </w:pPr>
      <w:r>
        <w:rPr>
          <w:rFonts w:hint="eastAsia" w:ascii="宋体" w:hAnsi="宋体" w:cs="宋体"/>
        </w:rPr>
        <w:t>公司工程技术部门和安全管理部门对安全技术措施和施工方案的编制和执行情况进行定期或不定期</w:t>
      </w:r>
      <w:r>
        <w:rPr>
          <w:rFonts w:hint="eastAsia" w:ascii="宋体" w:hAnsi="宋体" w:cs="宋体"/>
          <w:lang w:eastAsia="zh-CN"/>
        </w:rPr>
        <w:t>地</w:t>
      </w:r>
      <w:r>
        <w:rPr>
          <w:rFonts w:hint="eastAsia" w:ascii="宋体" w:hAnsi="宋体" w:cs="宋体"/>
        </w:rPr>
        <w:t>检查。具体要求见公司相关制度。</w:t>
      </w:r>
    </w:p>
    <w:p>
      <w:pPr>
        <w:pStyle w:val="5"/>
        <w:numPr>
          <w:ilvl w:val="0"/>
          <w:numId w:val="0"/>
        </w:numPr>
        <w:shd w:val="clear"/>
        <w:bidi w:val="0"/>
        <w:ind w:left="0" w:leftChars="0" w:firstLine="480" w:firstLineChars="200"/>
        <w:rPr>
          <w:rFonts w:hint="eastAsia"/>
          <w:lang w:val="en-US" w:eastAsia="zh-CN"/>
        </w:rPr>
      </w:pPr>
      <w:r>
        <w:rPr>
          <w:rFonts w:hint="eastAsia" w:ascii="Times New Roman" w:hAnsi="Times New Roman" w:eastAsia="宋体" w:cs="Times New Roman"/>
          <w:b/>
          <w:bCs/>
          <w:kern w:val="2"/>
          <w:sz w:val="24"/>
          <w:szCs w:val="32"/>
          <w:lang w:val="en-US" w:eastAsia="zh-CN" w:bidi="ar-SA"/>
        </w:rPr>
        <w:t>十、</w:t>
      </w:r>
      <w:r>
        <w:rPr>
          <w:rFonts w:hint="eastAsia"/>
          <w:lang w:val="en-US" w:eastAsia="zh-CN"/>
        </w:rPr>
        <w:t xml:space="preserve">施工方案编制计划 </w:t>
      </w:r>
    </w:p>
    <w:tbl>
      <w:tblPr>
        <w:tblStyle w:val="54"/>
        <w:tblW w:w="9692" w:type="dxa"/>
        <w:jc w:val="center"/>
        <w:tblLayout w:type="fixed"/>
        <w:tblCellMar>
          <w:top w:w="0" w:type="dxa"/>
          <w:left w:w="108" w:type="dxa"/>
          <w:bottom w:w="0" w:type="dxa"/>
          <w:right w:w="108" w:type="dxa"/>
        </w:tblCellMar>
      </w:tblPr>
      <w:tblGrid>
        <w:gridCol w:w="656"/>
        <w:gridCol w:w="1499"/>
        <w:gridCol w:w="3030"/>
        <w:gridCol w:w="630"/>
        <w:gridCol w:w="1233"/>
        <w:gridCol w:w="1406"/>
        <w:gridCol w:w="1238"/>
      </w:tblGrid>
      <w:tr>
        <w:trPr>
          <w:trHeight w:val="0" w:hRule="atLeast"/>
          <w:jc w:val="center"/>
        </w:trPr>
        <w:tc>
          <w:tcPr>
            <w:tcW w:w="2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lang w:bidi="ar"/>
              </w:rPr>
              <w:t>工程名称</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b/>
                <w:bCs/>
                <w:color w:val="000000"/>
                <w:szCs w:val="21"/>
              </w:rPr>
            </w:pPr>
            <w:r>
              <w:rPr>
                <w:rFonts w:hint="eastAsia" w:ascii="宋体" w:hAnsi="宋体" w:eastAsia="宋体" w:cs="宋体"/>
                <w:b/>
                <w:bCs/>
                <w:color w:val="000000"/>
                <w:sz w:val="21"/>
                <w:szCs w:val="18"/>
              </w:rPr>
              <w:t>年产1500万平方米特种薄膜、生物医疗薄膜及功能涂层研发生产项目</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lang w:bidi="ar"/>
              </w:rPr>
              <w:t>所在地</w:t>
            </w:r>
            <w:r>
              <w:rPr>
                <w:rFonts w:hint="eastAsia" w:ascii="宋体" w:hAnsi="宋体" w:eastAsia="宋体" w:cs="宋体"/>
                <w:b/>
                <w:bCs/>
                <w:color w:val="000000"/>
                <w:kern w:val="0"/>
                <w:sz w:val="21"/>
                <w:szCs w:val="21"/>
                <w:lang w:bidi="ar"/>
              </w:rPr>
              <w:br w:type="textWrapping"/>
            </w:r>
            <w:r>
              <w:rPr>
                <w:rFonts w:hint="eastAsia" w:ascii="宋体" w:hAnsi="宋体" w:eastAsia="宋体" w:cs="宋体"/>
                <w:b/>
                <w:bCs/>
                <w:color w:val="000000"/>
                <w:kern w:val="0"/>
                <w:sz w:val="21"/>
                <w:szCs w:val="21"/>
                <w:lang w:bidi="ar"/>
              </w:rPr>
              <w:t>（市/区）</w:t>
            </w:r>
          </w:p>
        </w:tc>
        <w:tc>
          <w:tcPr>
            <w:tcW w:w="2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sz w:val="21"/>
                <w:szCs w:val="21"/>
                <w:lang w:eastAsia="zh-CN"/>
              </w:rPr>
              <w:t>宁波市江北区</w:t>
            </w:r>
          </w:p>
        </w:tc>
      </w:tr>
      <w:tr>
        <w:trPr>
          <w:trHeight w:val="0" w:hRule="atLeast"/>
          <w:jc w:val="center"/>
        </w:trPr>
        <w:tc>
          <w:tcPr>
            <w:tcW w:w="2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开工报告日期</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（计划开工日期）</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2024.11.02</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Style w:val="280"/>
                <w:rFonts w:hint="default"/>
                <w:b w:val="0"/>
                <w:bCs w:val="0"/>
                <w:sz w:val="21"/>
                <w:szCs w:val="21"/>
                <w:lang w:bidi="ar"/>
              </w:rPr>
            </w:pPr>
            <w:r>
              <w:rPr>
                <w:rFonts w:hint="eastAsia" w:ascii="宋体" w:hAnsi="宋体" w:eastAsia="宋体" w:cs="宋体"/>
                <w:color w:val="000000"/>
                <w:kern w:val="0"/>
                <w:sz w:val="21"/>
                <w:szCs w:val="21"/>
                <w:lang w:bidi="ar"/>
              </w:rPr>
              <w:t>计划竣工日期</w:t>
            </w:r>
          </w:p>
        </w:tc>
        <w:tc>
          <w:tcPr>
            <w:tcW w:w="2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leftChars="0" w:right="0" w:rightChars="0"/>
              <w:jc w:val="center"/>
              <w:textAlignment w:val="center"/>
              <w:rPr>
                <w:rFonts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2026.0</w:t>
            </w:r>
            <w:r>
              <w:rPr>
                <w:rFonts w:hint="eastAsia" w:ascii="宋体" w:hAnsi="宋体" w:cs="宋体"/>
                <w:color w:val="000000"/>
                <w:kern w:val="0"/>
                <w:sz w:val="21"/>
                <w:szCs w:val="21"/>
                <w:lang w:val="en-US" w:eastAsia="zh-CN" w:bidi="ar"/>
              </w:rPr>
              <w:t>5</w:t>
            </w:r>
            <w:r>
              <w:rPr>
                <w:rFonts w:hint="eastAsia" w:ascii="宋体" w:hAnsi="宋体" w:eastAsia="宋体" w:cs="宋体"/>
                <w:color w:val="000000"/>
                <w:kern w:val="0"/>
                <w:sz w:val="21"/>
                <w:szCs w:val="21"/>
                <w:lang w:bidi="ar"/>
              </w:rPr>
              <w:t>.03</w:t>
            </w:r>
          </w:p>
        </w:tc>
      </w:tr>
      <w:tr>
        <w:trPr>
          <w:trHeight w:val="0" w:hRule="atLeast"/>
          <w:jc w:val="center"/>
        </w:trPr>
        <w:tc>
          <w:tcPr>
            <w:tcW w:w="2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实际质量目标</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color w:val="auto"/>
                <w:kern w:val="0"/>
                <w:sz w:val="21"/>
                <w:szCs w:val="21"/>
                <w:lang w:eastAsia="zh-CN" w:bidi="ar"/>
              </w:rPr>
            </w:pPr>
            <w:r>
              <w:rPr>
                <w:rFonts w:hint="eastAsia" w:ascii="宋体" w:hAnsi="宋体" w:eastAsia="宋体" w:cs="Times New Roman"/>
                <w:color w:val="auto"/>
                <w:kern w:val="2"/>
                <w:sz w:val="21"/>
                <w:szCs w:val="21"/>
                <w:lang w:val="en-US" w:eastAsia="zh-CN" w:bidi="ar-SA"/>
              </w:rPr>
              <w:t>按国家施工验收规范一次性验收合格标准</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Style w:val="280"/>
                <w:rFonts w:hint="default"/>
                <w:b w:val="0"/>
                <w:bCs w:val="0"/>
                <w:color w:val="auto"/>
                <w:sz w:val="21"/>
                <w:szCs w:val="21"/>
                <w:lang w:bidi="ar"/>
              </w:rPr>
            </w:pPr>
            <w:r>
              <w:rPr>
                <w:rFonts w:hint="eastAsia" w:ascii="宋体" w:hAnsi="宋体" w:eastAsia="宋体" w:cs="宋体"/>
                <w:color w:val="auto"/>
                <w:kern w:val="0"/>
                <w:sz w:val="21"/>
                <w:szCs w:val="21"/>
                <w:lang w:bidi="ar"/>
              </w:rPr>
              <w:t>实际安全目标</w:t>
            </w:r>
          </w:p>
        </w:tc>
        <w:tc>
          <w:tcPr>
            <w:tcW w:w="26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color w:val="auto"/>
                <w:kern w:val="0"/>
                <w:sz w:val="21"/>
                <w:szCs w:val="21"/>
                <w:lang w:eastAsia="zh-CN" w:bidi="ar"/>
              </w:rPr>
            </w:pPr>
            <w:r>
              <w:rPr>
                <w:rFonts w:hint="eastAsia" w:ascii="宋体" w:hAnsi="宋体" w:cs="宋体"/>
                <w:color w:val="auto"/>
                <w:kern w:val="0"/>
                <w:sz w:val="21"/>
                <w:szCs w:val="21"/>
                <w:lang w:val="en-US" w:eastAsia="zh-CN" w:bidi="ar"/>
              </w:rPr>
              <w:t>合格</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序号</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方案编号</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施工方案名称</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方案类别</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Style w:val="280"/>
                <w:rFonts w:hint="default"/>
                <w:b w:val="0"/>
                <w:bCs w:val="0"/>
                <w:sz w:val="18"/>
                <w:szCs w:val="18"/>
                <w:lang w:bidi="ar"/>
              </w:rPr>
              <w:t>所需方案</w:t>
            </w:r>
            <w:r>
              <w:rPr>
                <w:rStyle w:val="280"/>
                <w:rFonts w:hint="default"/>
                <w:b w:val="0"/>
                <w:bCs w:val="0"/>
                <w:sz w:val="18"/>
                <w:szCs w:val="18"/>
                <w:lang w:bidi="ar"/>
              </w:rPr>
              <w:br w:type="textWrapping"/>
            </w:r>
            <w:r>
              <w:rPr>
                <w:rStyle w:val="280"/>
                <w:rFonts w:hint="default"/>
                <w:b w:val="0"/>
                <w:bCs w:val="0"/>
                <w:sz w:val="18"/>
                <w:szCs w:val="18"/>
                <w:lang w:bidi="ar"/>
              </w:rPr>
              <w:t>（打“</w:t>
            </w:r>
            <w:r>
              <w:rPr>
                <w:rStyle w:val="281"/>
                <w:rFonts w:ascii="宋体" w:hAnsi="宋体" w:eastAsia="宋体" w:cs="宋体"/>
                <w:b w:val="0"/>
                <w:bCs w:val="0"/>
                <w:sz w:val="18"/>
                <w:szCs w:val="18"/>
                <w:lang w:bidi="ar"/>
              </w:rPr>
              <w:t>√</w:t>
            </w:r>
            <w:r>
              <w:rPr>
                <w:rStyle w:val="280"/>
                <w:rFonts w:hint="default"/>
                <w:b w:val="0"/>
                <w:bCs w:val="0"/>
                <w:sz w:val="18"/>
                <w:szCs w:val="18"/>
                <w:lang w:bidi="ar"/>
              </w:rPr>
              <w:t>”）</w:t>
            </w:r>
          </w:p>
        </w:tc>
        <w:tc>
          <w:tcPr>
            <w:tcW w:w="1406"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Style w:val="280"/>
                <w:rFonts w:hint="default"/>
                <w:b w:val="0"/>
                <w:bCs w:val="0"/>
                <w:sz w:val="18"/>
                <w:szCs w:val="18"/>
                <w:lang w:bidi="ar"/>
              </w:rPr>
              <w:t>计划报审时间</w:t>
            </w:r>
          </w:p>
        </w:tc>
        <w:tc>
          <w:tcPr>
            <w:tcW w:w="123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计划报审时间要求</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施工组织设计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2024.11.06</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*施工许可证时间：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施工许可证申领前≥10天</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EPC项目施工组织设计（按需）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场地平整方案（按需）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施工现场出入口（道口开设）方案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2024.11.06</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应急预案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2024.11.12</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安全、文明及职业健康施工方案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2024.11.12</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扬尘防治施工方案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2024.11.12</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临时设施施工方案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2024.11.12</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09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临时围墙施工方案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绿色施工方案（按需）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FF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*施工许可证时间：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施工许可证申领后15天内报送至各公司总工程师室</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防台防汛专项方案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2024.11.25</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季节性施工方案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2024.11.25</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07-24-005009</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测量工程施工方案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2024.11.25</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高压线/外电防护方案（按需）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起重机械应急预案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重大危险源管理施工方案（市级杯及以上）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创优策划方案（市级杯及以上）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样板引路方案（市级杯及以上）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检验检测方案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分项工程和检验批划分方案（按需）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混凝土试件留置及试验计划方案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桩基工程施工方案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eastAsia" w:ascii="宋体" w:hAnsi="宋体" w:eastAsia="宋体" w:cs="宋体"/>
                <w:color w:val="000000"/>
                <w:sz w:val="21"/>
                <w:szCs w:val="21"/>
                <w:lang w:eastAsia="zh-CN"/>
              </w:rPr>
            </w:pP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*桩基开始时间：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桩基工程开始前≥10天报送至各公司总工程师室</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工程桩施工专项方案（按桩型划分）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围护桩施工专项方案（按桩型划分）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桩基工程临时用电专项施工方案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2024.11.20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桩机安装与拆除施工方案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2024.11.20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地下连续墙施工方案（按需）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*桩基完成时间：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桩基工程完成前≥10天报送至各公司总工程师室</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（塔吊、深基坑等需专家论证按实施前≥20天）</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消防安全专项施工方案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塔吊基础施工方案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2024.11.15</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塔吊安装与拆除施工方案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多塔作业专项施工方案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宋体" w:hAnsi="宋体" w:eastAsia="宋体" w:cs="宋体"/>
                <w:color w:val="000000"/>
                <w:sz w:val="21"/>
                <w:szCs w:val="21"/>
                <w:lang w:val="en-US"/>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建筑业新技术应用示范工程创建方案（新技术示范项目、省级杯及以上）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宋体" w:hAnsi="宋体" w:eastAsia="宋体" w:cs="宋体"/>
                <w:color w:val="000000"/>
                <w:sz w:val="21"/>
                <w:szCs w:val="21"/>
                <w:lang w:val="en-US"/>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新技术应用施工组织设计（新技术示范项目、省级杯及以上）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07-24-005019</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临时用电施工组织设计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2024.11.06</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★深基坑开挖施工方案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2024.12.20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支护系统专项施工方案（按需）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基坑降排水专项施工方案（按需）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宋体" w:hAnsi="宋体" w:eastAsia="宋体" w:cs="宋体"/>
                <w:color w:val="000000"/>
                <w:sz w:val="21"/>
                <w:szCs w:val="21"/>
                <w:lang w:val="en-US"/>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浅基础挖土施工方案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支护系统拆除施工方案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2024.12.30</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*挖土完成时间：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挖土完成前≥10天报送至各公司总工程师室</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07-24-005022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砖胎膜工程施工方案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2025.2.28</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钢筋工程施工方案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2025.2.28</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混凝土工程施工方案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2025.2.28</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大体积混凝土施工方案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人防工程施工方案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2025.2.28</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土方回填施工方案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防水工程施工方案（地下/多水房间/屋面）</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★高大模板及支撑架施工方案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2025.2.25</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07-24-005029</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地下室/上部主体普通模板工程施工方案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施工缝、后浇带施工方案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地下室顶板辅助支撑专项方案（施工阶段）</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质量通病防治施工方案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*地下室完成时间：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地下室完成前≥10天报送至各公司总工程师室</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施工电梯基础施工方案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落地式外脚手架施工方案（盘扣式）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宋体" w:hAnsi="宋体" w:eastAsia="宋体" w:cs="宋体"/>
                <w:color w:val="000000"/>
                <w:sz w:val="21"/>
                <w:szCs w:val="21"/>
                <w:lang w:val="en-US"/>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落地式外脚手架施工方案（扣件式）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施工电梯（物料提升机）安拆施工方案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2025.5.20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悬挑式外脚手架施工方案（盘扣式）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*主体结构完成时间：</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主体结构完成前≥20天，且各项实施前大于10天（悬挂架等需专家论证按实施前≥20天）</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★悬挑式外脚手架施工方案（扣件式）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装配式工程专项施工方案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砌体工程施工方案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2025.5.10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07-24-005039</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落地式卸料平台施工方案（按需）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悬挑式卸料平台施工方案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预应力工程施工方案（按需）</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屋面工程施工方案（市级杯及以上）</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混凝土修补专项方案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2025.5.10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工程质量缺陷处理方案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ascii="宋体" w:hAnsi="宋体" w:eastAsia="宋体" w:cs="宋体"/>
                <w:color w:val="000000"/>
                <w:sz w:val="21"/>
                <w:szCs w:val="21"/>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建筑节能工程施工组织设计（专项施工方案）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2025.5.30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落地式/移动式操作平台专项方案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节能施工前≥10天</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粉刷工程施工方案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2025.5.30</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粉刷工程前≥10天</w:t>
            </w: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塔式起重机顶升专项施工方案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塔式起重机使用应急预案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71</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塔式起重机安拆应急预案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2025.3.30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72</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★吊篮工程施工方案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2025.7.30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73</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07-24-005049</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吊篮安拆应急预案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FF0000"/>
                <w:sz w:val="21"/>
                <w:szCs w:val="21"/>
              </w:rPr>
            </w:pPr>
            <w:r>
              <w:rPr>
                <w:rFonts w:hint="eastAsia" w:ascii="宋体" w:hAnsi="宋体" w:eastAsia="宋体" w:cs="宋体"/>
                <w:i w:val="0"/>
                <w:iCs w:val="0"/>
                <w:color w:val="000000"/>
                <w:kern w:val="0"/>
                <w:sz w:val="21"/>
                <w:szCs w:val="21"/>
                <w:u w:val="none"/>
                <w:lang w:val="en-US" w:eastAsia="zh-CN" w:bidi="ar"/>
              </w:rPr>
              <w:t>2025.7.30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74</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07-24-005050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门窗幕墙工程专项施工方案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2025.7.30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75</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07-24-005051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物料提升机基础专项施工方案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B</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2025.4.30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default" w:ascii="宋体" w:hAnsi="宋体" w:eastAsia="宋体" w:cs="宋体"/>
                <w:color w:val="000000"/>
                <w:kern w:val="0"/>
                <w:sz w:val="18"/>
                <w:szCs w:val="18"/>
                <w:lang w:val="en-US" w:eastAsia="zh-CN" w:bidi="ar"/>
              </w:rPr>
            </w:pPr>
            <w:bookmarkStart w:id="175" w:name="_Toc4771"/>
            <w:r>
              <w:rPr>
                <w:rFonts w:hint="eastAsia" w:ascii="宋体" w:hAnsi="宋体" w:cs="宋体"/>
                <w:color w:val="000000"/>
                <w:kern w:val="0"/>
                <w:sz w:val="18"/>
                <w:szCs w:val="18"/>
                <w:lang w:val="en-US" w:eastAsia="zh-CN" w:bidi="ar"/>
              </w:rPr>
              <w:t>76</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i w:val="0"/>
                <w:iCs w:val="0"/>
                <w:color w:val="000000"/>
                <w:kern w:val="0"/>
                <w:sz w:val="21"/>
                <w:szCs w:val="21"/>
                <w:u w:val="none"/>
                <w:lang w:val="en-US" w:eastAsia="zh-CN" w:bidi="ar"/>
              </w:rPr>
              <w:t>07-24-005052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市政附属工程专项施工方案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2025.10.30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77</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i w:val="0"/>
                <w:iCs w:val="0"/>
                <w:color w:val="000000"/>
                <w:kern w:val="0"/>
                <w:sz w:val="21"/>
                <w:szCs w:val="21"/>
                <w:u w:val="none"/>
                <w:lang w:val="en-US" w:eastAsia="zh-CN" w:bidi="ar"/>
              </w:rPr>
              <w:t>07-24-005053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总体管控方案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2024.12.30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78</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i w:val="0"/>
                <w:iCs w:val="0"/>
                <w:color w:val="000000"/>
                <w:kern w:val="0"/>
                <w:sz w:val="21"/>
                <w:szCs w:val="21"/>
                <w:u w:val="none"/>
                <w:lang w:val="en-US" w:eastAsia="zh-CN" w:bidi="ar"/>
              </w:rPr>
              <w:t>07-24-005054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专项作业细则</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2024.12.30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79</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i w:val="0"/>
                <w:iCs w:val="0"/>
                <w:color w:val="000000"/>
                <w:kern w:val="0"/>
                <w:sz w:val="21"/>
                <w:szCs w:val="21"/>
                <w:u w:val="none"/>
                <w:lang w:val="en-US" w:eastAsia="zh-CN" w:bidi="ar"/>
              </w:rPr>
              <w:t>07-24-005055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防暑降温专项施工方案</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C</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2024.12.30</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r>
        <w:trPr>
          <w:trHeight w:val="0" w:hRule="atLeas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80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i w:val="0"/>
                <w:iCs w:val="0"/>
                <w:color w:val="000000"/>
                <w:kern w:val="0"/>
                <w:sz w:val="21"/>
                <w:szCs w:val="21"/>
                <w:u w:val="none"/>
                <w:lang w:val="en-US" w:eastAsia="zh-CN" w:bidi="ar"/>
              </w:rPr>
              <w:t>07-24-005001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施工组织设计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A</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2024.11.06</w:t>
            </w:r>
          </w:p>
        </w:tc>
        <w:tc>
          <w:tcPr>
            <w:tcW w:w="1238" w:type="dxa"/>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rPr>
                <w:rFonts w:ascii="宋体" w:hAnsi="宋体" w:eastAsia="宋体" w:cs="宋体"/>
                <w:color w:val="000000"/>
                <w:sz w:val="18"/>
                <w:szCs w:val="18"/>
              </w:rPr>
            </w:pPr>
          </w:p>
        </w:tc>
      </w:tr>
    </w:tbl>
    <w:p>
      <w:pPr>
        <w:pStyle w:val="3"/>
        <w:shd w:val="clear"/>
        <w:bidi w:val="0"/>
        <w:rPr>
          <w:rFonts w:hint="eastAsia"/>
        </w:rPr>
      </w:pPr>
      <w:bookmarkStart w:id="176" w:name="_Toc25015"/>
      <w:r>
        <w:rPr>
          <w:rFonts w:hint="eastAsia"/>
          <w:lang w:val="en-US" w:eastAsia="zh-CN"/>
        </w:rPr>
        <w:t xml:space="preserve">第十六章  </w:t>
      </w:r>
      <w:bookmarkEnd w:id="175"/>
      <w:r>
        <w:rPr>
          <w:rStyle w:val="60"/>
          <w:rFonts w:hint="eastAsia"/>
          <w:color w:val="auto"/>
          <w:highlight w:val="none"/>
          <w:u w:val="none"/>
        </w:rPr>
        <w:t>危大工程清单及管控措施</w:t>
      </w:r>
      <w:bookmarkEnd w:id="176"/>
    </w:p>
    <w:p>
      <w:pPr>
        <w:pStyle w:val="4"/>
        <w:shd w:val="clear"/>
        <w:bidi w:val="0"/>
      </w:pPr>
      <w:bookmarkStart w:id="177" w:name="_Toc22735"/>
      <w:bookmarkStart w:id="178" w:name="_Toc27446"/>
      <w:r>
        <w:rPr>
          <w:rFonts w:hint="eastAsia"/>
        </w:rPr>
        <w:t>第一节  危大工程清单</w:t>
      </w:r>
      <w:bookmarkEnd w:id="177"/>
      <w:bookmarkEnd w:id="178"/>
    </w:p>
    <w:tbl>
      <w:tblPr>
        <w:tblStyle w:val="54"/>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35"/>
        <w:gridCol w:w="1104"/>
        <w:gridCol w:w="1188"/>
        <w:gridCol w:w="1238"/>
      </w:tblGrid>
      <w:tr>
        <w:trPr>
          <w:trHeight w:val="0" w:hRule="atLeast"/>
          <w:tblHeader/>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center"/>
              <w:rPr>
                <w:rFonts w:ascii="宋体" w:hAnsi="宋体" w:cs="宋体"/>
                <w:b/>
                <w:bCs/>
                <w:sz w:val="21"/>
                <w:szCs w:val="21"/>
              </w:rPr>
            </w:pPr>
            <w:r>
              <w:rPr>
                <w:rFonts w:hint="eastAsia" w:ascii="宋体" w:hAnsi="宋体" w:cs="宋体"/>
                <w:b/>
                <w:bCs/>
                <w:sz w:val="21"/>
                <w:szCs w:val="21"/>
              </w:rPr>
              <w:t>危险性较大分部分项工程名称</w:t>
            </w:r>
          </w:p>
        </w:tc>
        <w:tc>
          <w:tcPr>
            <w:tcW w:w="1104" w:type="dxa"/>
            <w:shd w:val="clear" w:color="auto" w:fill="auto"/>
            <w:vAlign w:val="center"/>
          </w:tcPr>
          <w:p>
            <w:pPr>
              <w:keepNext w:val="0"/>
              <w:keepLines w:val="0"/>
              <w:suppressLineNumbers w:val="0"/>
              <w:shd w:val="clear"/>
              <w:spacing w:before="0" w:beforeAutospacing="0" w:after="0" w:afterAutospacing="0" w:line="360" w:lineRule="auto"/>
              <w:ind w:left="0" w:right="0"/>
              <w:jc w:val="center"/>
              <w:rPr>
                <w:rFonts w:ascii="宋体" w:hAnsi="宋体" w:cs="宋体"/>
                <w:b/>
                <w:bCs/>
                <w:sz w:val="21"/>
                <w:szCs w:val="21"/>
              </w:rPr>
            </w:pPr>
            <w:r>
              <w:rPr>
                <w:rFonts w:hint="eastAsia" w:ascii="宋体" w:hAnsi="宋体" w:cs="宋体"/>
                <w:b/>
                <w:bCs/>
                <w:sz w:val="21"/>
                <w:szCs w:val="21"/>
              </w:rPr>
              <w:t>有</w:t>
            </w:r>
          </w:p>
        </w:tc>
        <w:tc>
          <w:tcPr>
            <w:tcW w:w="1188" w:type="dxa"/>
            <w:shd w:val="clear" w:color="auto" w:fill="auto"/>
            <w:vAlign w:val="center"/>
          </w:tcPr>
          <w:p>
            <w:pPr>
              <w:keepNext w:val="0"/>
              <w:keepLines w:val="0"/>
              <w:suppressLineNumbers w:val="0"/>
              <w:shd w:val="clear"/>
              <w:spacing w:before="0" w:beforeAutospacing="0" w:after="0" w:afterAutospacing="0" w:line="360" w:lineRule="auto"/>
              <w:ind w:left="0" w:right="0"/>
              <w:jc w:val="center"/>
              <w:rPr>
                <w:rFonts w:ascii="宋体" w:hAnsi="宋体" w:cs="宋体"/>
                <w:b/>
                <w:bCs/>
                <w:sz w:val="21"/>
                <w:szCs w:val="21"/>
              </w:rPr>
            </w:pPr>
            <w:r>
              <w:rPr>
                <w:rFonts w:hint="eastAsia" w:ascii="宋体" w:hAnsi="宋体" w:cs="宋体"/>
                <w:b/>
                <w:bCs/>
                <w:sz w:val="21"/>
                <w:szCs w:val="21"/>
              </w:rPr>
              <w:t>无</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center"/>
              <w:rPr>
                <w:rFonts w:ascii="宋体" w:hAnsi="宋体" w:cs="宋体"/>
                <w:b/>
                <w:bCs/>
                <w:sz w:val="21"/>
                <w:szCs w:val="21"/>
              </w:rPr>
            </w:pPr>
            <w:r>
              <w:rPr>
                <w:rFonts w:hint="eastAsia" w:ascii="宋体" w:hAnsi="宋体" w:cs="宋体"/>
                <w:b/>
                <w:bCs/>
                <w:sz w:val="21"/>
                <w:szCs w:val="21"/>
              </w:rPr>
              <w:t>备注</w:t>
            </w: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b/>
                <w:color w:val="auto"/>
                <w:sz w:val="21"/>
                <w:szCs w:val="21"/>
              </w:rPr>
              <w:t>一、基坑支护、降水工程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color w:val="auto"/>
                <w:sz w:val="21"/>
                <w:szCs w:val="21"/>
              </w:rPr>
              <w:t>开挖深度超过3米（含3米）或周边环境复杂的基坑（槽）支护、降水工程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开挖深度超过4米（含4米）或周边环境复杂的基坑（槽）支护、降水工程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b/>
                <w:color w:val="auto"/>
                <w:sz w:val="21"/>
                <w:szCs w:val="21"/>
              </w:rPr>
              <w:t>二、土方开挖工程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color w:val="auto"/>
                <w:sz w:val="21"/>
                <w:szCs w:val="21"/>
              </w:rPr>
              <w:t>开挖深度超过3米（含3米）的基坑（槽）的土方开挖工程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开挖深度超过4米（含4米）的基坑（槽）的土方开挖工程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b/>
                <w:color w:val="auto"/>
                <w:sz w:val="21"/>
                <w:szCs w:val="21"/>
              </w:rPr>
              <w:t>三、模板工程及支撑体系</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（一）各类工具式模板工程：包括大模板、滑模、爬模、飞模等工程。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（二）混凝土模板支撑工程：搭设高度8米及以上；搭设跨度18米及以上；施工总荷载10 KN/㎡及以上；集中线荷载15KN/m及以上；高度大于支撑水平投影宽度且相对独立无联系构件的混凝土模板支撑工程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（三）承重支撑体系：用于钢结构安装等满堂支撑体系。</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color w:val="auto"/>
                <w:sz w:val="21"/>
                <w:szCs w:val="21"/>
              </w:rPr>
            </w:pPr>
            <w:r>
              <w:rPr>
                <w:rFonts w:hint="eastAsia" w:ascii="宋体" w:hAnsi="宋体" w:cs="宋体"/>
                <w:b/>
                <w:color w:val="auto"/>
                <w:sz w:val="21"/>
                <w:szCs w:val="21"/>
              </w:rPr>
              <w:t>四、起重吊装及安装拆卸工程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（一）采用非常规起重设备、方法、且单件起吊重量在10KN及以上的起重吊装工程。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r>
              <w:rPr>
                <w:rFonts w:hint="eastAsia" w:ascii="宋体" w:hAnsi="宋体" w:cs="宋体"/>
                <w:color w:val="auto"/>
                <w:sz w:val="21"/>
                <w:szCs w:val="21"/>
              </w:rPr>
              <w:t>（二）采用起重机械进行安装的工程。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r>
              <w:rPr>
                <w:rFonts w:hint="eastAsia" w:ascii="宋体" w:hAnsi="宋体" w:cs="宋体"/>
                <w:color w:val="auto"/>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color w:val="auto"/>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color w:val="auto"/>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（三）起重机械设备自身的安装、拆卸。</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r>
              <w:rPr>
                <w:rFonts w:hint="eastAsia" w:ascii="宋体" w:hAnsi="宋体" w:cs="宋体"/>
                <w:sz w:val="21"/>
                <w:szCs w:val="21"/>
              </w:rPr>
              <w:t>√</w:t>
            </w:r>
          </w:p>
        </w:tc>
        <w:tc>
          <w:tcPr>
            <w:tcW w:w="1238" w:type="dxa"/>
            <w:shd w:val="clear" w:color="auto" w:fill="auto"/>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sz w:val="21"/>
                <w:szCs w:val="21"/>
              </w:rPr>
            </w:pPr>
            <w:r>
              <w:rPr>
                <w:rFonts w:hint="eastAsia" w:ascii="宋体" w:hAnsi="宋体" w:cs="宋体"/>
                <w:b/>
                <w:sz w:val="21"/>
                <w:szCs w:val="21"/>
              </w:rPr>
              <w:t>五、脚手架工程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（一）搭设高度24米及以上的落地式钢管脚手架工程。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r>
              <w:rPr>
                <w:rFonts w:hint="eastAsia" w:ascii="宋体" w:hAnsi="宋体" w:cs="宋体"/>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c>
          <w:tcPr>
            <w:tcW w:w="1238" w:type="dxa"/>
            <w:shd w:val="clear" w:color="auto" w:fill="auto"/>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（二）附着式整体和分片提升脚手架工程。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（三）悬挑式脚手架工程。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238" w:type="dxa"/>
            <w:shd w:val="clear" w:color="auto" w:fill="auto"/>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（四）吊篮脚手架工程。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r>
              <w:rPr>
                <w:rFonts w:hint="eastAsia" w:ascii="宋体" w:hAnsi="宋体" w:cs="宋体"/>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c>
          <w:tcPr>
            <w:tcW w:w="1238" w:type="dxa"/>
            <w:shd w:val="clear" w:color="auto" w:fill="auto"/>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（五）自制卸料平台、移动操作平台工程。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r>
              <w:rPr>
                <w:rFonts w:hint="eastAsia" w:ascii="宋体" w:hAnsi="宋体" w:cs="宋体"/>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c>
          <w:tcPr>
            <w:tcW w:w="123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hint="eastAsia"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（六）新型及异型脚手架工程。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sz w:val="21"/>
                <w:szCs w:val="21"/>
              </w:rPr>
            </w:pPr>
            <w:r>
              <w:rPr>
                <w:rFonts w:hint="eastAsia" w:ascii="宋体" w:hAnsi="宋体" w:cs="宋体"/>
                <w:b/>
                <w:sz w:val="21"/>
                <w:szCs w:val="21"/>
              </w:rPr>
              <w:t>六、拆除、爆破工程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（一）建筑物、构筑物拆除工程。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b/>
                <w:sz w:val="21"/>
                <w:szCs w:val="21"/>
              </w:rPr>
            </w:pPr>
            <w:r>
              <w:rPr>
                <w:rFonts w:hint="eastAsia" w:ascii="宋体" w:hAnsi="宋体" w:cs="宋体"/>
                <w:b/>
                <w:sz w:val="21"/>
                <w:szCs w:val="21"/>
              </w:rPr>
              <w:t>七、其他</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（一）建筑幕墙安装工程。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（二）钢结构、网架和索膜结构安装工程。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（三）人工挖孔桩工程。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（四）预应力工程。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r>
        <w:trPr>
          <w:trHeight w:val="0" w:hRule="atLeast"/>
          <w:jc w:val="center"/>
        </w:trPr>
        <w:tc>
          <w:tcPr>
            <w:tcW w:w="6135"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r>
              <w:rPr>
                <w:rFonts w:hint="eastAsia" w:ascii="宋体" w:hAnsi="宋体" w:cs="宋体"/>
                <w:sz w:val="21"/>
                <w:szCs w:val="21"/>
              </w:rPr>
              <w:t>（五）采用新技术、新工艺、新材料、新设备及尚无相关技术标准的危险性较大的分部分项工程</w:t>
            </w:r>
          </w:p>
        </w:tc>
        <w:tc>
          <w:tcPr>
            <w:tcW w:w="1104"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p>
        </w:tc>
        <w:tc>
          <w:tcPr>
            <w:tcW w:w="1188" w:type="dxa"/>
            <w:shd w:val="clear" w:color="auto" w:fill="auto"/>
            <w:vAlign w:val="center"/>
          </w:tcPr>
          <w:p>
            <w:pPr>
              <w:keepNext w:val="0"/>
              <w:keepLines w:val="0"/>
              <w:suppressLineNumbers w:val="0"/>
              <w:shd w:val="clear"/>
              <w:spacing w:before="0" w:beforeAutospacing="0" w:after="0" w:afterAutospacing="0" w:line="240" w:lineRule="auto"/>
              <w:ind w:left="0" w:right="0"/>
              <w:jc w:val="center"/>
              <w:rPr>
                <w:rFonts w:ascii="宋体" w:hAnsi="宋体" w:cs="宋体"/>
                <w:sz w:val="21"/>
                <w:szCs w:val="21"/>
              </w:rPr>
            </w:pPr>
            <w:r>
              <w:rPr>
                <w:rFonts w:hint="eastAsia" w:ascii="宋体" w:hAnsi="宋体" w:cs="宋体"/>
                <w:sz w:val="21"/>
                <w:szCs w:val="21"/>
              </w:rPr>
              <w:t>√</w:t>
            </w:r>
          </w:p>
        </w:tc>
        <w:tc>
          <w:tcPr>
            <w:tcW w:w="1238" w:type="dxa"/>
            <w:shd w:val="clear" w:color="auto" w:fill="auto"/>
            <w:vAlign w:val="center"/>
          </w:tcPr>
          <w:p>
            <w:pPr>
              <w:keepNext w:val="0"/>
              <w:keepLines w:val="0"/>
              <w:suppressLineNumbers w:val="0"/>
              <w:shd w:val="clear"/>
              <w:spacing w:before="0" w:beforeAutospacing="0" w:after="0" w:afterAutospacing="0" w:line="360" w:lineRule="auto"/>
              <w:ind w:left="0" w:right="0"/>
              <w:jc w:val="left"/>
              <w:rPr>
                <w:rFonts w:ascii="宋体" w:hAnsi="宋体" w:cs="宋体"/>
                <w:sz w:val="21"/>
                <w:szCs w:val="21"/>
              </w:rPr>
            </w:pPr>
          </w:p>
        </w:tc>
      </w:tr>
    </w:tbl>
    <w:p>
      <w:pPr>
        <w:pStyle w:val="4"/>
        <w:numPr>
          <w:ilvl w:val="0"/>
          <w:numId w:val="0"/>
        </w:numPr>
        <w:shd w:val="clear"/>
        <w:spacing w:before="156" w:after="156"/>
        <w:jc w:val="center"/>
      </w:pPr>
      <w:bookmarkStart w:id="179" w:name="_Toc13567"/>
      <w:bookmarkEnd w:id="179"/>
      <w:bookmarkStart w:id="180" w:name="_Toc20542"/>
      <w:bookmarkStart w:id="181" w:name="_Toc18914"/>
      <w:r>
        <w:rPr>
          <w:rFonts w:hint="eastAsia"/>
          <w:lang w:val="en-US" w:eastAsia="zh-CN"/>
        </w:rPr>
        <w:t xml:space="preserve">第二节  </w:t>
      </w:r>
      <w:r>
        <w:rPr>
          <w:rFonts w:hint="eastAsia"/>
        </w:rPr>
        <w:t>危大工程管控措施</w:t>
      </w:r>
      <w:bookmarkEnd w:id="180"/>
      <w:bookmarkEnd w:id="181"/>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一、</w:t>
      </w:r>
      <w:r>
        <w:rPr>
          <w:rFonts w:hint="eastAsia"/>
        </w:rPr>
        <w:t>建立安全生产管理机构</w:t>
      </w:r>
    </w:p>
    <w:p>
      <w:pPr>
        <w:widowControl/>
        <w:shd w:val="clear"/>
        <w:spacing w:line="360" w:lineRule="auto"/>
        <w:ind w:firstLine="480" w:firstLineChars="200"/>
        <w:rPr>
          <w:rFonts w:ascii="宋体" w:hAnsi="宋体" w:cs="宋体"/>
        </w:rPr>
      </w:pPr>
      <w:r>
        <w:rPr>
          <w:rFonts w:hint="eastAsia" w:ascii="宋体" w:hAnsi="宋体" w:cs="宋体"/>
        </w:rPr>
        <w:t>建立、完善以项目经理为组长，生产、技术、安全负责人为副组长，各安全、施工管理人员为成员的安全生产领导小组，建立健全安全生产制度和施工方案或专项方案，设安全办公室执行安全检查监督工作，发现隐患及时督促整改排除，杜绝或减少安全事故发生。</w:t>
      </w:r>
    </w:p>
    <w:p>
      <w:pPr>
        <w:pStyle w:val="5"/>
        <w:numPr>
          <w:ilvl w:val="0"/>
          <w:numId w:val="0"/>
        </w:numPr>
        <w:shd w:val="clear"/>
        <w:bidi w:val="0"/>
        <w:ind w:left="0" w:leftChars="0" w:firstLine="480" w:firstLineChars="200"/>
      </w:pPr>
      <w:r>
        <w:rPr>
          <w:rFonts w:hint="eastAsia" w:ascii="Times New Roman" w:hAnsi="Times New Roman" w:eastAsia="宋体" w:cs="Times New Roman"/>
          <w:b/>
          <w:bCs/>
          <w:kern w:val="2"/>
          <w:sz w:val="24"/>
          <w:szCs w:val="32"/>
          <w:lang w:val="en-US" w:eastAsia="zh-CN" w:bidi="ar-SA"/>
        </w:rPr>
        <w:t>二、</w:t>
      </w:r>
      <w:r>
        <w:rPr>
          <w:rFonts w:hint="eastAsia"/>
        </w:rPr>
        <w:t>建立安全生产管理及教育培训制度</w:t>
      </w:r>
    </w:p>
    <w:p>
      <w:pPr>
        <w:widowControl/>
        <w:shd w:val="clear"/>
        <w:spacing w:line="360" w:lineRule="auto"/>
        <w:ind w:firstLine="480" w:firstLineChars="200"/>
        <w:rPr>
          <w:rFonts w:ascii="宋体" w:hAnsi="宋体" w:cs="宋体"/>
        </w:rPr>
      </w:pPr>
      <w:r>
        <w:rPr>
          <w:rFonts w:hint="eastAsia" w:ascii="宋体" w:hAnsi="宋体" w:cs="宋体"/>
        </w:rPr>
        <w:t>1、建立健全全员安全生产责任制。做到从项目经理到一线作业人员的责任制纵向到底。各职能部门、人员的安全生产责任制做到横向到边，人人负责。</w:t>
      </w:r>
    </w:p>
    <w:p>
      <w:pPr>
        <w:widowControl/>
        <w:shd w:val="clear"/>
        <w:spacing w:line="360" w:lineRule="auto"/>
        <w:ind w:firstLine="480" w:firstLineChars="200"/>
        <w:rPr>
          <w:rFonts w:ascii="宋体" w:hAnsi="宋体" w:cs="宋体"/>
        </w:rPr>
      </w:pPr>
      <w:r>
        <w:rPr>
          <w:rFonts w:hint="eastAsia" w:ascii="宋体" w:hAnsi="宋体" w:cs="宋体"/>
        </w:rPr>
        <w:t>2、建立安全会议制度、安全检查制度 、领导带班制度 、隐患排查治理制度、重大危险源监控制度 、应急救援制度、安全奖惩制度、教育培训制度 、安全生产经费投入计划、职业病防治管理制度、特种作业人员持证上岗制度等各项制度 ，消除在生产过程中因为物的不安全因素可能引发的安全事故。</w:t>
      </w:r>
    </w:p>
    <w:p>
      <w:pPr>
        <w:widowControl/>
        <w:shd w:val="clear"/>
        <w:spacing w:line="360" w:lineRule="auto"/>
        <w:ind w:firstLine="480" w:firstLineChars="200"/>
        <w:rPr>
          <w:rFonts w:ascii="宋体" w:hAnsi="宋体" w:cs="宋体"/>
        </w:rPr>
      </w:pPr>
      <w:r>
        <w:rPr>
          <w:rFonts w:hint="eastAsia" w:ascii="宋体" w:hAnsi="宋体" w:cs="宋体"/>
        </w:rPr>
        <w:t>3、安全教育、培训是进行人的安全行为提升的重要方法和手段。定期或不定期 进行安全教育与培训，增强作业人员安全生产意识，提高安全生产知识，</w:t>
      </w:r>
      <w:r>
        <w:rPr>
          <w:rFonts w:hint="eastAsia" w:ascii="宋体" w:hAnsi="宋体" w:cs="宋体"/>
          <w:lang w:eastAsia="zh-CN"/>
        </w:rPr>
        <w:t>有效地防止</w:t>
      </w:r>
      <w:r>
        <w:rPr>
          <w:rFonts w:hint="eastAsia" w:ascii="宋体" w:hAnsi="宋体" w:cs="宋体"/>
        </w:rPr>
        <w:t>因人的不安全行为可能造成的安全生产事故。</w:t>
      </w:r>
    </w:p>
    <w:p>
      <w:pPr>
        <w:pStyle w:val="5"/>
        <w:numPr>
          <w:ilvl w:val="0"/>
          <w:numId w:val="0"/>
        </w:numPr>
        <w:shd w:val="clear"/>
        <w:bidi w:val="0"/>
        <w:ind w:left="0" w:leftChars="0" w:firstLine="480" w:firstLineChars="200"/>
        <w:rPr>
          <w:rFonts w:hint="eastAsia"/>
        </w:rPr>
      </w:pPr>
      <w:r>
        <w:rPr>
          <w:rFonts w:hint="eastAsia" w:ascii="Times New Roman" w:hAnsi="Times New Roman" w:eastAsia="宋体" w:cs="Times New Roman"/>
          <w:b/>
          <w:bCs/>
          <w:kern w:val="2"/>
          <w:sz w:val="24"/>
          <w:szCs w:val="32"/>
          <w:lang w:val="en-US" w:eastAsia="zh-CN" w:bidi="ar-SA"/>
        </w:rPr>
        <w:t>三、</w:t>
      </w:r>
      <w:r>
        <w:rPr>
          <w:rFonts w:hint="eastAsia"/>
        </w:rPr>
        <w:t>危大工程安全管理技术措施</w:t>
      </w:r>
    </w:p>
    <w:p>
      <w:pPr>
        <w:pStyle w:val="6"/>
        <w:numPr>
          <w:ilvl w:val="0"/>
          <w:numId w:val="0"/>
        </w:numPr>
        <w:shd w:val="clear"/>
        <w:bidi w:val="0"/>
        <w:ind w:left="-160" w:leftChars="0" w:firstLine="480" w:firstLineChars="200"/>
        <w:rPr>
          <w:rFonts w:hint="eastAsia"/>
        </w:rPr>
      </w:pPr>
      <w:r>
        <w:rPr>
          <w:rFonts w:hint="eastAsia" w:ascii="宋体" w:hAnsi="宋体" w:eastAsia="宋体" w:cs="Times New Roman"/>
          <w:b/>
          <w:bCs/>
          <w:color w:val="000000"/>
          <w:kern w:val="0"/>
          <w:sz w:val="24"/>
          <w:szCs w:val="24"/>
          <w:lang w:val="en-US" w:eastAsia="zh-CN" w:bidi="ar-SA"/>
        </w:rPr>
        <w:t>（一）</w:t>
      </w:r>
      <w:r>
        <w:rPr>
          <w:rFonts w:hint="eastAsia"/>
        </w:rPr>
        <w:t>土方开挖工程</w:t>
      </w:r>
    </w:p>
    <w:tbl>
      <w:tblPr>
        <w:tblStyle w:val="55"/>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67"/>
        <w:gridCol w:w="8940"/>
      </w:tblGrid>
      <w:tr>
        <w:trPr>
          <w:tblHeade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施工现场设专职安全员负责施工全过程的安全监控、管理。</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土方开挖的顺序、方法必须与方案相一致。</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基坑在开挖过程和敞露期间应防止塌陷 ，必要时应加以保护。</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在开挖边坡上侧堆土或材料以及移动施工机械时，土方作业机械或施工机械应在挖方边缘保持2.5m的距离 ，以保证边坡和直立壁的稳定。当土质良好时，堆土或材料应距挖方边缘 1.5m以外，高度不宜超过1.5m。</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开挖边坡土方，严禁切割坡脚，以防导致边坡失稳。</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施工人员及材料上下深坑应预先搭设稳固安全的上下人通道，避免上下时发生坠落，并指定专人负责实施。</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基坑四周必须悬挂危险标志，并在夜间挂红色标志灯。任何人严禁在深坑、陡坡下面休息。</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当地下水位高于基坑开挖面，应当采用降低地下水方法</w:t>
            </w:r>
            <w:r>
              <w:rPr>
                <w:rFonts w:hint="eastAsia" w:ascii="宋体" w:hAnsi="宋体" w:cs="宋体"/>
                <w:sz w:val="21"/>
                <w:szCs w:val="21"/>
                <w:lang w:eastAsia="zh-CN"/>
              </w:rPr>
              <w:t>疏于</w:t>
            </w:r>
            <w:r>
              <w:rPr>
                <w:rFonts w:hint="eastAsia" w:ascii="宋体" w:hAnsi="宋体" w:cs="宋体"/>
                <w:sz w:val="21"/>
                <w:szCs w:val="21"/>
              </w:rPr>
              <w:t>坑内土层中的地下水。</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lang w:eastAsia="zh-CN"/>
              </w:rPr>
              <w:t>土方开挖</w:t>
            </w:r>
            <w:r>
              <w:rPr>
                <w:rFonts w:hint="eastAsia" w:ascii="宋体" w:hAnsi="宋体" w:cs="宋体"/>
                <w:sz w:val="21"/>
                <w:szCs w:val="21"/>
              </w:rPr>
              <w:t>工程施工前须编制专项施工方案，并附具安全验算结果，经审批后实施。</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在基坑施工前，应摸清基坑周边的管网情况，施工现场内应设地表排水系统，对雨水、施工用水</w:t>
            </w:r>
            <w:r>
              <w:rPr>
                <w:rFonts w:hint="eastAsia" w:ascii="宋体" w:hAnsi="宋体" w:cs="宋体"/>
                <w:sz w:val="21"/>
                <w:szCs w:val="21"/>
                <w:lang w:eastAsia="zh-CN"/>
              </w:rPr>
              <w:t>等</w:t>
            </w:r>
            <w:r>
              <w:rPr>
                <w:rFonts w:hint="eastAsia" w:ascii="宋体" w:hAnsi="宋体" w:cs="宋体"/>
                <w:sz w:val="21"/>
                <w:szCs w:val="21"/>
              </w:rPr>
              <w:t>进行有组织排放。</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894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对超过一定规模的危险性较大分部分项工程应组织专家对专项施工方案进行论证。</w:t>
            </w:r>
          </w:p>
        </w:tc>
      </w:tr>
    </w:tbl>
    <w:p>
      <w:pPr>
        <w:pStyle w:val="6"/>
        <w:numPr>
          <w:ilvl w:val="0"/>
          <w:numId w:val="0"/>
        </w:numPr>
        <w:shd w:val="clear"/>
        <w:bidi w:val="0"/>
        <w:ind w:left="0" w:leftChars="0" w:firstLine="480" w:firstLineChars="200"/>
      </w:pPr>
      <w:r>
        <w:rPr>
          <w:rFonts w:hint="eastAsia" w:ascii="宋体" w:hAnsi="宋体" w:eastAsia="宋体" w:cs="Times New Roman"/>
          <w:b/>
          <w:bCs/>
          <w:color w:val="000000"/>
          <w:kern w:val="0"/>
          <w:sz w:val="24"/>
          <w:szCs w:val="24"/>
          <w:lang w:val="en-US" w:eastAsia="zh-CN" w:bidi="ar-SA"/>
        </w:rPr>
        <w:t>（二）</w:t>
      </w:r>
      <w:r>
        <w:rPr>
          <w:rFonts w:hint="eastAsia"/>
        </w:rPr>
        <w:t>模板工程及支撑体系工程</w:t>
      </w:r>
    </w:p>
    <w:tbl>
      <w:tblPr>
        <w:tblStyle w:val="55"/>
        <w:tblW w:w="9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67"/>
        <w:gridCol w:w="8970"/>
      </w:tblGrid>
      <w:tr>
        <w:trPr>
          <w:tblHeade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支架应由具有相关资质的单位搭设和拆除。</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970" w:type="dxa"/>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textAlignment w:val="auto"/>
              <w:rPr>
                <w:rFonts w:hint="eastAsia"/>
                <w:sz w:val="21"/>
                <w:szCs w:val="21"/>
              </w:rPr>
            </w:pPr>
            <w:r>
              <w:rPr>
                <w:rFonts w:hint="eastAsia" w:ascii="宋体" w:hAnsi="宋体" w:cs="宋体"/>
                <w:sz w:val="21"/>
                <w:szCs w:val="21"/>
              </w:rPr>
              <w:t>作业人员应经过专业培训，定期体检，不适合</w:t>
            </w:r>
            <w:r>
              <w:rPr>
                <w:rFonts w:hint="eastAsia" w:ascii="宋体" w:hAnsi="宋体" w:cs="宋体"/>
                <w:sz w:val="21"/>
                <w:szCs w:val="21"/>
                <w:lang w:eastAsia="zh-CN"/>
              </w:rPr>
              <w:t>高处作业</w:t>
            </w:r>
            <w:r>
              <w:rPr>
                <w:rFonts w:hint="eastAsia" w:ascii="宋体" w:hAnsi="宋体" w:cs="宋体"/>
                <w:sz w:val="21"/>
                <w:szCs w:val="21"/>
              </w:rPr>
              <w:t>不能进行搭设和拆除作业。</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进行</w:t>
            </w:r>
            <w:r>
              <w:rPr>
                <w:rFonts w:hint="eastAsia" w:ascii="宋体" w:hAnsi="宋体" w:cs="宋体"/>
                <w:sz w:val="21"/>
                <w:szCs w:val="21"/>
                <w:lang w:eastAsia="zh-CN"/>
              </w:rPr>
              <w:t>搭拆</w:t>
            </w:r>
            <w:r>
              <w:rPr>
                <w:rFonts w:hint="eastAsia" w:ascii="宋体" w:hAnsi="宋体" w:cs="宋体"/>
                <w:sz w:val="21"/>
                <w:szCs w:val="21"/>
              </w:rPr>
              <w:t>作业时，作业人员必须戴安全帽，系安全带、穿防滑鞋。</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施工前应根据构筑物的施工方案选择合理的模板支架形式，在专项施工方案中制定搭设、拆除的程序及安全技术措施。</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模板支架应严格获准的施工方案或专项方案搭设和安装。</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模板支架搭设完成后，必须进行质量检查，经验收合格并形成文件后，方可交付使用。</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施工中不得超载，不得在支架上集中堆放物料，支架在使用期间应该经常检查、维护，保持完好状态。</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当搭设高度和施工荷载超过有关规范时，必须按相关规定进行设计，经结构计算和安全性验算确定，并按规定</w:t>
            </w:r>
            <w:r>
              <w:rPr>
                <w:rFonts w:hint="eastAsia" w:ascii="宋体" w:hAnsi="宋体" w:cs="宋体"/>
                <w:sz w:val="21"/>
                <w:szCs w:val="21"/>
                <w:lang w:val="en-US" w:eastAsia="zh-CN"/>
              </w:rPr>
              <w:t>组织</w:t>
            </w:r>
            <w:r>
              <w:rPr>
                <w:rFonts w:hint="eastAsia" w:ascii="宋体" w:hAnsi="宋体" w:cs="宋体"/>
                <w:sz w:val="21"/>
                <w:szCs w:val="21"/>
              </w:rPr>
              <w:t>专家论证。</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施工前进行安全交底，交底内容要有针对性，针对重点问题提出重点可靠的防护措施，并明确责任人。</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模板支架拆除现场应设作业区，其边界设警示标志，并由专人值守，非作业人员严禁入内。</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支架拆除采用机械作业时应由专人指挥。拆除应按施工方案或专项方案要求</w:t>
            </w:r>
            <w:r>
              <w:rPr>
                <w:rFonts w:hint="eastAsia" w:ascii="宋体" w:hAnsi="宋体" w:cs="宋体"/>
                <w:sz w:val="21"/>
                <w:szCs w:val="21"/>
                <w:lang w:eastAsia="zh-CN"/>
              </w:rPr>
              <w:t>自上而下</w:t>
            </w:r>
            <w:r>
              <w:rPr>
                <w:rFonts w:hint="eastAsia" w:ascii="宋体" w:hAnsi="宋体" w:cs="宋体"/>
                <w:sz w:val="21"/>
                <w:szCs w:val="21"/>
              </w:rPr>
              <w:t>逐层拆除，严禁上下同时作业。</w:t>
            </w:r>
          </w:p>
        </w:tc>
      </w:tr>
      <w:tr>
        <w:trPr>
          <w:jc w:val="center"/>
        </w:trPr>
        <w:tc>
          <w:tcPr>
            <w:tcW w:w="767"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8970" w:type="dxa"/>
            <w:shd w:val="clear" w:color="auto" w:fill="auto"/>
            <w:vAlign w:val="center"/>
          </w:tcPr>
          <w:p>
            <w:pPr>
              <w:pStyle w:val="22"/>
              <w:keepNext w:val="0"/>
              <w:keepLines w:val="0"/>
              <w:pageBreakBefore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ascii="宋体" w:hAnsi="宋体" w:cs="宋体"/>
                <w:sz w:val="21"/>
                <w:szCs w:val="21"/>
              </w:rPr>
            </w:pPr>
            <w:r>
              <w:rPr>
                <w:rFonts w:hint="eastAsia" w:ascii="宋体" w:hAnsi="宋体" w:cs="宋体"/>
                <w:sz w:val="21"/>
                <w:szCs w:val="21"/>
              </w:rPr>
              <w:t>严禁敲击、硬拉模板、杆件和配件，严禁抛掷模板、杆件、配件，拆除的模板、杆件、配件应分类堆放。</w:t>
            </w:r>
          </w:p>
        </w:tc>
      </w:tr>
    </w:tbl>
    <w:p>
      <w:pPr>
        <w:pStyle w:val="6"/>
        <w:numPr>
          <w:ilvl w:val="0"/>
          <w:numId w:val="0"/>
        </w:numPr>
        <w:shd w:val="clear"/>
        <w:bidi w:val="0"/>
        <w:ind w:left="0" w:leftChars="0" w:firstLine="480" w:firstLineChars="200"/>
      </w:pPr>
      <w:r>
        <w:rPr>
          <w:rFonts w:hint="eastAsia" w:ascii="宋体" w:hAnsi="宋体" w:eastAsia="宋体" w:cs="Times New Roman"/>
          <w:b/>
          <w:bCs/>
          <w:color w:val="000000"/>
          <w:kern w:val="0"/>
          <w:sz w:val="24"/>
          <w:szCs w:val="24"/>
          <w:lang w:val="en-US" w:eastAsia="zh-CN" w:bidi="ar-SA"/>
        </w:rPr>
        <w:t>（三）</w:t>
      </w:r>
      <w:r>
        <w:rPr>
          <w:rFonts w:hint="eastAsia"/>
        </w:rPr>
        <w:t>起重吊装安装拆卸</w:t>
      </w:r>
    </w:p>
    <w:p>
      <w:pPr>
        <w:widowControl/>
        <w:shd w:val="clear"/>
        <w:spacing w:line="360" w:lineRule="auto"/>
        <w:ind w:firstLine="480" w:firstLineChars="200"/>
        <w:rPr>
          <w:rFonts w:ascii="宋体" w:hAnsi="宋体" w:cs="宋体"/>
        </w:rPr>
      </w:pPr>
      <w:r>
        <w:rPr>
          <w:rFonts w:hint="eastAsia" w:ascii="宋体" w:hAnsi="宋体" w:cs="宋体"/>
        </w:rPr>
        <w:t>1、安装安全管理措施</w:t>
      </w:r>
    </w:p>
    <w:tbl>
      <w:tblPr>
        <w:tblStyle w:val="55"/>
        <w:tblW w:w="9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7"/>
        <w:gridCol w:w="8970"/>
      </w:tblGrid>
      <w:tr>
        <w:trPr>
          <w:tblHeade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塔式起重机的安装必须编制专项安装方案，安装人员须持证上岗。</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上岗人员必须经过安全技术培训，交底、持证上岗。</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安装期间，严禁喝酒上岗，精力集中，严禁向下抛掷物件，使用的工具妥善放置，防止掉落。</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设置安全警戒区域，并由专人进行安全监护 ，非施工人员不得进入作业区域，以防事故发生。</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检查各金属结构的焊缝及疲劳状况（主要受力部位）。</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检查绳索、</w:t>
            </w:r>
            <w:r>
              <w:rPr>
                <w:rFonts w:hint="eastAsia" w:ascii="宋体" w:hAnsi="宋体" w:cs="宋体"/>
                <w:sz w:val="21"/>
                <w:szCs w:val="21"/>
                <w:lang w:eastAsia="zh-CN"/>
              </w:rPr>
              <w:t>电气设备</w:t>
            </w:r>
            <w:r>
              <w:rPr>
                <w:rFonts w:hint="eastAsia" w:ascii="宋体" w:hAnsi="宋体" w:cs="宋体"/>
                <w:sz w:val="21"/>
                <w:szCs w:val="21"/>
              </w:rPr>
              <w:t>、制动器的安全可靠性。</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起板过程应由专人负责指挥，禁止多头指挥。</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起板前须检查确认绳进滑轮槽，各部位置正确到位，夹轨器夹紧，增加的压重部位，结合部的紧固等情况应可靠。</w:t>
            </w:r>
          </w:p>
        </w:tc>
      </w:tr>
      <w:tr>
        <w:trPr>
          <w:jc w:val="center"/>
        </w:trPr>
        <w:tc>
          <w:tcPr>
            <w:tcW w:w="79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default"/>
                <w:sz w:val="21"/>
                <w:szCs w:val="21"/>
                <w:lang w:val="en-US" w:eastAsia="zh-CN"/>
              </w:rPr>
            </w:pPr>
            <w:r>
              <w:rPr>
                <w:rFonts w:hint="eastAsia"/>
                <w:sz w:val="21"/>
                <w:szCs w:val="21"/>
                <w:lang w:val="en-US" w:eastAsia="zh-CN"/>
              </w:rPr>
              <w:t>9</w:t>
            </w:r>
          </w:p>
        </w:tc>
        <w:tc>
          <w:tcPr>
            <w:tcW w:w="897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起板前，须检查起重臂头部与塔身的固定是否接触，各部绳索、滑轮是否都在位。</w:t>
            </w:r>
          </w:p>
        </w:tc>
      </w:tr>
    </w:tbl>
    <w:p>
      <w:pPr>
        <w:widowControl/>
        <w:shd w:val="clear"/>
        <w:spacing w:line="360" w:lineRule="auto"/>
        <w:ind w:firstLine="480" w:firstLineChars="200"/>
        <w:rPr>
          <w:rFonts w:ascii="宋体" w:hAnsi="宋体" w:cs="宋体"/>
        </w:rPr>
      </w:pPr>
      <w:r>
        <w:rPr>
          <w:rFonts w:hint="eastAsia" w:ascii="宋体" w:hAnsi="宋体" w:cs="宋体"/>
        </w:rPr>
        <w:t>2、运行操作安全管理措施</w:t>
      </w:r>
    </w:p>
    <w:tbl>
      <w:tblPr>
        <w:tblStyle w:val="55"/>
        <w:tblW w:w="9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82"/>
        <w:gridCol w:w="8992"/>
      </w:tblGrid>
      <w:tr>
        <w:trPr>
          <w:tblHeade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塔吊整体安装或每次爬升后，均须按规定程序验收通过后才可使用。</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起重机必须有安全可靠的接地装置。</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工作前应检查钢丝绳、安全装置、制动装置、传动机构等，如有不符合要求的情况，应予修</w:t>
            </w:r>
            <w:r>
              <w:rPr>
                <w:rFonts w:hint="eastAsia" w:ascii="宋体" w:hAnsi="宋体" w:cs="宋体"/>
                <w:sz w:val="21"/>
                <w:szCs w:val="21"/>
                <w:lang w:eastAsia="zh-CN"/>
              </w:rPr>
              <w:t>正</w:t>
            </w:r>
            <w:r>
              <w:rPr>
                <w:rFonts w:hint="eastAsia" w:ascii="宋体" w:hAnsi="宋体" w:cs="宋体"/>
                <w:sz w:val="21"/>
                <w:szCs w:val="21"/>
              </w:rPr>
              <w:t>，经试运转确认无问题后才能施工。</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操作工、指挥工必须持有效特种作业证。</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禁止越级调速和高速时突然停车。</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当机构出现不正常时，应及时停吊，排除故障后才能继续工作，禁止在工作过程中调整或修检。</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必须遵守"十不吊"等有关安全规程。</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爬升操作时，应按说明书规定步骤进行。</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899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工作完毕后应把吊钩吊起，小车收进，所有操作手把置于零位，锁好配电箱，关闭司机门窗。</w:t>
            </w:r>
          </w:p>
        </w:tc>
      </w:tr>
    </w:tbl>
    <w:p>
      <w:pPr>
        <w:widowControl/>
        <w:shd w:val="clear"/>
        <w:spacing w:line="360" w:lineRule="auto"/>
        <w:ind w:firstLine="480" w:firstLineChars="200"/>
        <w:rPr>
          <w:rFonts w:ascii="宋体" w:hAnsi="宋体" w:cs="宋体"/>
        </w:rPr>
      </w:pPr>
      <w:r>
        <w:rPr>
          <w:rFonts w:hint="eastAsia" w:ascii="宋体" w:hAnsi="宋体" w:cs="宋体"/>
        </w:rPr>
        <w:t>3、拆除安全管理措施</w:t>
      </w:r>
    </w:p>
    <w:tbl>
      <w:tblPr>
        <w:tblStyle w:val="55"/>
        <w:tblW w:w="9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12"/>
        <w:gridCol w:w="9003"/>
      </w:tblGrid>
      <w:tr>
        <w:trPr>
          <w:tblHeade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塔式起重机的拆除须编制专项拆卸方案，拆卸人员须持证上岗。</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设置安全警戒区域，并由专人进行安全监护。</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检查各工作机构的润滑及紧固情况，检查各金属结构的疲劳状况和连接状况，检查起重、变幅机构的刹车装置，必要时进行调整，检查塔机的吊索及辅助吊索具的可靠性。</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放起重臂时必须先将吊钩放到地面，准备倾倒塔身时，必须将起重臂头部与塔身固定牢靠，塔身下方不得站人。</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运输时注意托架车的调整紧固及塔机转台支腿的绑扎固定，防止自行脱出，钩物伤人；将基础吊放平，以免运输中超高。</w:t>
            </w:r>
          </w:p>
        </w:tc>
      </w:tr>
      <w:tr>
        <w:trPr>
          <w:jc w:val="center"/>
        </w:trPr>
        <w:tc>
          <w:tcPr>
            <w:tcW w:w="81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9003"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塔机拆除过程中应有专人负责指挥，禁止多头指挥。</w:t>
            </w:r>
          </w:p>
        </w:tc>
      </w:tr>
    </w:tbl>
    <w:p>
      <w:pPr>
        <w:pStyle w:val="6"/>
        <w:numPr>
          <w:ilvl w:val="0"/>
          <w:numId w:val="0"/>
        </w:numPr>
        <w:shd w:val="clear"/>
        <w:bidi w:val="0"/>
        <w:ind w:left="0" w:leftChars="0" w:firstLine="480" w:firstLineChars="200"/>
      </w:pPr>
      <w:r>
        <w:rPr>
          <w:rFonts w:hint="eastAsia" w:ascii="宋体" w:hAnsi="宋体" w:eastAsia="宋体" w:cs="Times New Roman"/>
          <w:b/>
          <w:bCs/>
          <w:color w:val="000000"/>
          <w:kern w:val="0"/>
          <w:sz w:val="24"/>
          <w:szCs w:val="24"/>
          <w:lang w:val="en-US" w:eastAsia="zh-CN" w:bidi="ar-SA"/>
        </w:rPr>
        <w:t>（四）</w:t>
      </w:r>
      <w:r>
        <w:rPr>
          <w:rFonts w:hint="eastAsia"/>
        </w:rPr>
        <w:t>脚手架工程</w:t>
      </w:r>
    </w:p>
    <w:p>
      <w:pPr>
        <w:widowControl/>
        <w:shd w:val="clear"/>
        <w:spacing w:line="360" w:lineRule="auto"/>
        <w:ind w:firstLine="480" w:firstLineChars="200"/>
        <w:rPr>
          <w:rFonts w:ascii="宋体" w:hAnsi="宋体" w:cs="宋体"/>
        </w:rPr>
      </w:pPr>
      <w:r>
        <w:rPr>
          <w:rFonts w:hint="eastAsia" w:ascii="宋体" w:hAnsi="宋体" w:cs="宋体"/>
        </w:rPr>
        <w:t>1、脚手架搭设安全技术措施</w:t>
      </w:r>
    </w:p>
    <w:tbl>
      <w:tblPr>
        <w:tblStyle w:val="55"/>
        <w:tblW w:w="9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67"/>
        <w:gridCol w:w="9044"/>
      </w:tblGrid>
      <w:tr>
        <w:trPr>
          <w:tblHeade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脚手架工必须经过专业培训并考试合格取得特种作业资格证，无证人员不得从事脚手架作业。</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脚手架搭设前、必须制定施工方案和进行安全技术交底，并经双方签字，附影像资料留存。</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脚手架在高处（2m 以上）作业时、必须</w:t>
            </w:r>
            <w:r>
              <w:rPr>
                <w:rFonts w:hint="eastAsia" w:ascii="宋体" w:hAnsi="宋体" w:cs="宋体"/>
                <w:sz w:val="21"/>
                <w:szCs w:val="21"/>
                <w:lang w:eastAsia="zh-CN"/>
              </w:rPr>
              <w:t>佩戴安全带</w:t>
            </w:r>
            <w:r>
              <w:rPr>
                <w:rFonts w:hint="eastAsia" w:ascii="宋体" w:hAnsi="宋体" w:cs="宋体"/>
                <w:sz w:val="21"/>
                <w:szCs w:val="21"/>
              </w:rPr>
              <w:t>。安全带必须与</w:t>
            </w:r>
            <w:r>
              <w:rPr>
                <w:rFonts w:hint="eastAsia" w:ascii="宋体" w:hAnsi="宋体" w:cs="宋体"/>
                <w:sz w:val="21"/>
                <w:szCs w:val="21"/>
                <w:lang w:eastAsia="zh-CN"/>
              </w:rPr>
              <w:t>已</w:t>
            </w:r>
            <w:r>
              <w:rPr>
                <w:rFonts w:hint="eastAsia" w:ascii="宋体" w:hAnsi="宋体" w:cs="宋体"/>
                <w:sz w:val="21"/>
                <w:szCs w:val="21"/>
              </w:rPr>
              <w:t>搭好的立、横杆扣牢，不得挂在铅丝</w:t>
            </w:r>
            <w:r>
              <w:rPr>
                <w:rFonts w:hint="eastAsia" w:ascii="宋体" w:hAnsi="宋体" w:cs="宋体"/>
                <w:sz w:val="21"/>
                <w:szCs w:val="21"/>
                <w:lang w:eastAsia="zh-CN"/>
              </w:rPr>
              <w:t>或其他</w:t>
            </w:r>
            <w:r>
              <w:rPr>
                <w:rFonts w:hint="eastAsia" w:ascii="宋体" w:hAnsi="宋体" w:cs="宋体"/>
                <w:sz w:val="21"/>
                <w:szCs w:val="21"/>
              </w:rPr>
              <w:t>不牢固的地方。在脚手架上操作要精力集中、禁止打闹。休息时应下脚手架，严禁酒后作业。</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遇有恶劣天气影响安全施工时应停止高处作业。</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未搭设完成的脚手架，除脚手架工一律不准上架。脚手架搭设完成后由施工操作人员会同脚手架工长以及使用工种人员、技术员、安全员等有关人员共同进行验收、合格后方可使用。使用中的脚手架必须保持完整，禁止随意拆改脚手架或挪用跳板。必须拆改时，应经施工负责人批准、由脚手架工负责操作。</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所有的脚手架，经过大风、大雨、停用超过一个月的，要认真检查，如发现倾斜下沉及松扣、崩扣、要即时修复。</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悬挑式脚手架搭设时，连墙件、型钢</w:t>
            </w:r>
            <w:r>
              <w:rPr>
                <w:rFonts w:hint="eastAsia" w:ascii="宋体" w:hAnsi="宋体" w:cs="宋体"/>
                <w:sz w:val="21"/>
                <w:szCs w:val="21"/>
                <w:lang w:eastAsia="zh-CN"/>
              </w:rPr>
              <w:t>支撑架</w:t>
            </w:r>
            <w:r>
              <w:rPr>
                <w:rFonts w:hint="eastAsia" w:ascii="宋体" w:hAnsi="宋体" w:cs="宋体"/>
                <w:sz w:val="21"/>
                <w:szCs w:val="21"/>
              </w:rPr>
              <w:t>对应的主体结构混凝土必须达到设计计算要求的强度，在上部的脚手架搭设时型钢</w:t>
            </w:r>
            <w:r>
              <w:rPr>
                <w:rFonts w:hint="eastAsia" w:ascii="宋体" w:hAnsi="宋体" w:cs="宋体"/>
                <w:sz w:val="21"/>
                <w:szCs w:val="21"/>
                <w:lang w:eastAsia="zh-CN"/>
              </w:rPr>
              <w:t>支撑架</w:t>
            </w:r>
            <w:r>
              <w:rPr>
                <w:rFonts w:hint="eastAsia" w:ascii="宋体" w:hAnsi="宋体" w:cs="宋体"/>
                <w:sz w:val="21"/>
                <w:szCs w:val="21"/>
              </w:rPr>
              <w:t>对应的混凝土强度不得小于C15。</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悬挑式脚手架必须严格按照设计、施工方案进行搭设，而且在悬挑式脚手架搭设过程中，须指定监护人员进行监护。</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预埋件等隐蔽工程的设置应按设计要求执行，保证质量，预埋连接的验收手续应齐全。</w:t>
            </w:r>
          </w:p>
        </w:tc>
      </w:tr>
      <w:tr>
        <w:trPr>
          <w:jc w:val="center"/>
        </w:trPr>
        <w:tc>
          <w:tcPr>
            <w:tcW w:w="767"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044"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高度在24米以下的落地式脚手架应在外侧立面两端各设置一组剪刀撑，中间</w:t>
            </w:r>
            <w:r>
              <w:rPr>
                <w:rFonts w:hint="eastAsia" w:ascii="宋体" w:hAnsi="宋体" w:cs="宋体"/>
                <w:sz w:val="21"/>
                <w:szCs w:val="21"/>
                <w:lang w:eastAsia="zh-CN"/>
              </w:rPr>
              <w:t>部分</w:t>
            </w:r>
            <w:r>
              <w:rPr>
                <w:rFonts w:hint="eastAsia" w:ascii="宋体" w:hAnsi="宋体" w:cs="宋体"/>
                <w:sz w:val="21"/>
                <w:szCs w:val="21"/>
              </w:rPr>
              <w:t>不大于15米间距设置，由底部至顶部随脚手架连续设置。高度大于24米以上的落地式脚手架、悬挑式脚手架应沿外侧长度和高度连续设置剪刀撑。</w:t>
            </w:r>
          </w:p>
        </w:tc>
      </w:tr>
    </w:tbl>
    <w:p>
      <w:pPr>
        <w:widowControl/>
        <w:shd w:val="clear"/>
        <w:spacing w:line="360" w:lineRule="auto"/>
        <w:ind w:firstLine="480" w:firstLineChars="200"/>
        <w:rPr>
          <w:rFonts w:ascii="宋体" w:hAnsi="宋体" w:cs="宋体"/>
        </w:rPr>
      </w:pPr>
      <w:r>
        <w:rPr>
          <w:rFonts w:hint="eastAsia" w:ascii="宋体" w:hAnsi="宋体" w:cs="宋体"/>
        </w:rPr>
        <w:t>2、脚手架拆除安全技术措施</w:t>
      </w:r>
    </w:p>
    <w:tbl>
      <w:tblPr>
        <w:tblStyle w:val="55"/>
        <w:tblW w:w="9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82"/>
        <w:gridCol w:w="9030"/>
      </w:tblGrid>
      <w:tr>
        <w:trPr>
          <w:tblHeade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外架拆除前，技术部门要向拆架人员进行书面安全交底。并要有接受人签字。</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拆架前设置作业区域 ，四周拉设警示带，派专人值守禁止所有人员进入警示区。</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脚手架拆除程序应由上而下、按层逐步拆除，先清理架上杂物，连墙件应随架体逐层拆除，不得先拆除。</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拆架人员必须系安全带，拆除过程中，应指派责任心强人担任指挥，负责全部拆除工作的安全作业。</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拆架时遇有管线阻碍时不得任意割移，同时要注意扣件崩扣，避免踩在滑动的杆件上操作。</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拆架人员应配备工具套，手上拿钢管时，不准同时拿扳手，工具用后必须放在工具套内，以免掉落伤人，严禁向下抛掷物件。</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拆架休息时不准坐在脚手架上或不安全的地方、严禁拆架时</w:t>
            </w:r>
            <w:r>
              <w:rPr>
                <w:rFonts w:hint="eastAsia" w:ascii="宋体" w:hAnsi="宋体" w:cs="宋体"/>
                <w:sz w:val="21"/>
                <w:szCs w:val="21"/>
                <w:lang w:eastAsia="zh-CN"/>
              </w:rPr>
              <w:t>嬉戏</w:t>
            </w:r>
            <w:r>
              <w:rPr>
                <w:rFonts w:hint="eastAsia" w:ascii="宋体" w:hAnsi="宋体" w:cs="宋体"/>
                <w:sz w:val="21"/>
                <w:szCs w:val="21"/>
              </w:rPr>
              <w:t>打闹。</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拆除中途如更换作业人员必须重新进行安全交底。</w:t>
            </w:r>
          </w:p>
        </w:tc>
      </w:tr>
      <w:tr>
        <w:trPr>
          <w:jc w:val="center"/>
        </w:trPr>
        <w:tc>
          <w:tcPr>
            <w:tcW w:w="782"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9030"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严禁脚手架工在夜间进行脚手架搭拆工作。</w:t>
            </w:r>
          </w:p>
        </w:tc>
      </w:tr>
    </w:tbl>
    <w:p>
      <w:pPr>
        <w:widowControl/>
        <w:shd w:val="clear"/>
        <w:spacing w:line="360" w:lineRule="auto"/>
        <w:ind w:firstLine="480" w:firstLineChars="200"/>
        <w:rPr>
          <w:rFonts w:ascii="宋体" w:hAnsi="宋体" w:cs="宋体"/>
        </w:rPr>
      </w:pPr>
      <w:r>
        <w:rPr>
          <w:rFonts w:hint="eastAsia" w:ascii="宋体" w:hAnsi="宋体" w:cs="宋体"/>
        </w:rPr>
        <w:t>3、脚手架使用和管理</w:t>
      </w:r>
    </w:p>
    <w:tbl>
      <w:tblPr>
        <w:tblStyle w:val="55"/>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89"/>
        <w:gridCol w:w="9038"/>
      </w:tblGrid>
      <w:tr>
        <w:trPr>
          <w:tblHeade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序号</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eastAsia="宋体"/>
                <w:b/>
                <w:bCs/>
                <w:sz w:val="21"/>
                <w:szCs w:val="21"/>
                <w:lang w:eastAsia="zh-CN"/>
              </w:rPr>
            </w:pPr>
            <w:r>
              <w:rPr>
                <w:rFonts w:hint="eastAsia"/>
                <w:b/>
                <w:bCs/>
                <w:sz w:val="21"/>
                <w:szCs w:val="21"/>
                <w:lang w:eastAsia="zh-CN"/>
              </w:rPr>
              <w:t>具体内容</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搭设过程中的脚手架 、每搭设一个施工层高度必须组织进行检查验收，验收合格后方可投入使用。</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工程技术负责人必须按脚手架方案的要求、拟定书面操作要求、向班组进行技术交底。班组必须严格按操作规程和安全技术交底施工。</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基础、卸荷措施和脚手架分段完成后应分层验收、填写验收单。</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rFonts w:hint="eastAsia"/>
                <w:sz w:val="21"/>
                <w:szCs w:val="21"/>
              </w:rPr>
            </w:pPr>
            <w:r>
              <w:rPr>
                <w:rFonts w:hint="eastAsia" w:ascii="宋体" w:hAnsi="宋体" w:cs="宋体"/>
                <w:sz w:val="21"/>
                <w:szCs w:val="21"/>
              </w:rPr>
              <w:t>不准利用脚手架上、下，应从专用扶梯行走。</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不得在脚手架上使用梯子</w:t>
            </w:r>
            <w:r>
              <w:rPr>
                <w:rFonts w:hint="eastAsia" w:ascii="宋体" w:hAnsi="宋体" w:cs="宋体"/>
                <w:sz w:val="21"/>
                <w:szCs w:val="21"/>
                <w:lang w:eastAsia="zh-CN"/>
              </w:rPr>
              <w:t>或其他</w:t>
            </w:r>
            <w:r>
              <w:rPr>
                <w:rFonts w:hint="eastAsia" w:ascii="宋体" w:hAnsi="宋体" w:cs="宋体"/>
                <w:sz w:val="21"/>
                <w:szCs w:val="21"/>
              </w:rPr>
              <w:t>类似工具来增加高度。</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不得在仅供防护用的脚手架上作业。</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外架第一步（</w:t>
            </w:r>
            <w:r>
              <w:rPr>
                <w:rFonts w:hint="eastAsia" w:ascii="宋体" w:hAnsi="宋体" w:cs="宋体"/>
                <w:sz w:val="21"/>
                <w:szCs w:val="21"/>
                <w:lang w:val="en-US" w:eastAsia="zh-CN"/>
              </w:rPr>
              <w:t>2</w:t>
            </w:r>
            <w:r>
              <w:rPr>
                <w:rFonts w:hint="eastAsia" w:ascii="宋体" w:hAnsi="宋体" w:cs="宋体"/>
                <w:sz w:val="21"/>
                <w:szCs w:val="21"/>
              </w:rPr>
              <w:t>m）开始设置立网和兜网、每层均设水平安全网，隔层铺设脚手板防护。</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脚手架搭好后派专人管理，任何人未经特许、不得改动。</w:t>
            </w:r>
          </w:p>
        </w:tc>
      </w:tr>
      <w:tr>
        <w:trPr>
          <w:jc w:val="center"/>
        </w:trPr>
        <w:tc>
          <w:tcPr>
            <w:tcW w:w="789"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9038" w:type="dxa"/>
            <w:shd w:val="clear" w:color="auto" w:fill="auto"/>
            <w:vAlign w:val="center"/>
          </w:tcPr>
          <w:p>
            <w:pPr>
              <w:pStyle w:val="22"/>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12" w:lineRule="auto"/>
              <w:ind w:left="0" w:right="0" w:firstLine="420" w:firstLineChars="200"/>
              <w:jc w:val="both"/>
              <w:textAlignment w:val="auto"/>
              <w:rPr>
                <w:sz w:val="21"/>
                <w:szCs w:val="21"/>
              </w:rPr>
            </w:pPr>
            <w:r>
              <w:rPr>
                <w:rFonts w:hint="eastAsia" w:ascii="宋体" w:hAnsi="宋体" w:cs="宋体"/>
                <w:sz w:val="21"/>
                <w:szCs w:val="21"/>
              </w:rPr>
              <w:t>脚手架上不得有任何活动材料，</w:t>
            </w:r>
            <w:r>
              <w:rPr>
                <w:rFonts w:hint="eastAsia" w:ascii="宋体" w:hAnsi="宋体" w:cs="宋体"/>
                <w:sz w:val="21"/>
                <w:szCs w:val="21"/>
                <w:lang w:eastAsia="zh-CN"/>
              </w:rPr>
              <w:t>一旦发现</w:t>
            </w:r>
            <w:r>
              <w:rPr>
                <w:rFonts w:hint="eastAsia" w:ascii="宋体" w:hAnsi="宋体" w:cs="宋体"/>
                <w:sz w:val="21"/>
                <w:szCs w:val="21"/>
              </w:rPr>
              <w:t>、立即清理干净。</w:t>
            </w:r>
          </w:p>
        </w:tc>
      </w:tr>
    </w:tbl>
    <w:p>
      <w:pPr>
        <w:pStyle w:val="34"/>
        <w:shd w:val="clear"/>
        <w:rPr>
          <w:rFonts w:hint="eastAsia"/>
        </w:rPr>
      </w:pPr>
      <w:bookmarkStart w:id="182" w:name="_Toc1889"/>
    </w:p>
    <w:bookmarkEnd w:id="182"/>
    <w:p>
      <w:pPr>
        <w:pStyle w:val="3"/>
        <w:shd w:val="clear"/>
        <w:bidi w:val="0"/>
        <w:rPr>
          <w:rFonts w:hint="default" w:eastAsia="宋体"/>
          <w:lang w:val="en-US" w:eastAsia="zh-CN"/>
        </w:rPr>
      </w:pPr>
      <w:bookmarkStart w:id="183" w:name="_Toc26621"/>
      <w:r>
        <w:rPr>
          <w:rFonts w:hint="eastAsia"/>
          <w:lang w:eastAsia="zh-CN"/>
        </w:rPr>
        <w:t>第十</w:t>
      </w:r>
      <w:r>
        <w:rPr>
          <w:rFonts w:hint="eastAsia"/>
          <w:lang w:val="en-US" w:eastAsia="zh-CN"/>
        </w:rPr>
        <w:t>七</w:t>
      </w:r>
      <w:r>
        <w:rPr>
          <w:rFonts w:hint="eastAsia"/>
          <w:lang w:eastAsia="zh-CN"/>
        </w:rPr>
        <w:t>章</w:t>
      </w:r>
      <w:r>
        <w:rPr>
          <w:rFonts w:hint="eastAsia"/>
          <w:lang w:val="en-US" w:eastAsia="zh-CN"/>
        </w:rPr>
        <w:t xml:space="preserve">  附图</w:t>
      </w:r>
      <w:bookmarkEnd w:id="183"/>
    </w:p>
    <w:p>
      <w:pPr>
        <w:keepNext/>
        <w:keepLines/>
        <w:pageBreakBefore w:val="0"/>
        <w:widowControl w:val="0"/>
        <w:numPr>
          <w:ilvl w:val="0"/>
          <w:numId w:val="0"/>
        </w:numPr>
        <w:shd w:val="clear"/>
        <w:kinsoku/>
        <w:wordWrap/>
        <w:overflowPunct/>
        <w:topLinePunct w:val="0"/>
        <w:autoSpaceDE/>
        <w:autoSpaceDN/>
        <w:bidi w:val="0"/>
        <w:adjustRightInd/>
        <w:snapToGrid w:val="0"/>
        <w:ind w:left="0" w:leftChars="0" w:firstLine="480" w:firstLineChars="200"/>
        <w:textAlignment w:val="auto"/>
        <w:outlineLvl w:val="9"/>
      </w:pPr>
      <w:bookmarkStart w:id="184" w:name="_Toc29507"/>
      <w:bookmarkStart w:id="185" w:name="_Toc5583"/>
      <w:r>
        <w:rPr>
          <w:rFonts w:hint="eastAsia" w:ascii="Times New Roman" w:hAnsi="Times New Roman" w:eastAsia="宋体" w:cs="Times New Roman"/>
          <w:b/>
          <w:bCs/>
          <w:kern w:val="2"/>
          <w:sz w:val="24"/>
          <w:szCs w:val="32"/>
          <w:lang w:val="en-US" w:eastAsia="zh-CN" w:bidi="ar-SA"/>
        </w:rPr>
        <w:t>一、</w:t>
      </w:r>
      <w:r>
        <w:rPr>
          <w:rFonts w:hint="eastAsia"/>
          <w:lang w:val="en-US" w:eastAsia="zh-CN"/>
        </w:rPr>
        <w:t>各施工阶段施工平面布置图</w:t>
      </w:r>
    </w:p>
    <w:p>
      <w:pPr>
        <w:keepNext/>
        <w:keepLines/>
        <w:pageBreakBefore w:val="0"/>
        <w:widowControl w:val="0"/>
        <w:numPr>
          <w:ilvl w:val="0"/>
          <w:numId w:val="0"/>
        </w:numPr>
        <w:shd w:val="clear"/>
        <w:kinsoku/>
        <w:wordWrap/>
        <w:overflowPunct/>
        <w:topLinePunct w:val="0"/>
        <w:autoSpaceDE/>
        <w:autoSpaceDN/>
        <w:bidi w:val="0"/>
        <w:adjustRightInd/>
        <w:snapToGrid w:val="0"/>
        <w:ind w:left="0" w:leftChars="0" w:firstLine="480" w:firstLineChars="200"/>
        <w:textAlignment w:val="auto"/>
        <w:outlineLvl w:val="9"/>
        <w:rPr>
          <w:rFonts w:hint="eastAsia"/>
        </w:rPr>
        <w:sectPr>
          <w:footerReference r:id="rId7" w:type="default"/>
          <w:pgSz w:w="11906" w:h="16838"/>
          <w:pgMar w:top="1327" w:right="1304" w:bottom="1327" w:left="1304" w:header="851" w:footer="850" w:gutter="0"/>
          <w:pgNumType w:fmt="decimal"/>
          <w:cols w:space="425" w:num="1"/>
          <w:docGrid w:type="lines" w:linePitch="312" w:charSpace="0"/>
        </w:sectPr>
      </w:pPr>
      <w:r>
        <w:rPr>
          <w:rFonts w:hint="eastAsia" w:ascii="Times New Roman" w:hAnsi="Times New Roman" w:eastAsia="宋体" w:cs="Times New Roman"/>
          <w:b/>
          <w:bCs/>
          <w:kern w:val="2"/>
          <w:sz w:val="24"/>
          <w:szCs w:val="32"/>
          <w:lang w:val="en-US" w:eastAsia="zh-CN" w:bidi="ar-SA"/>
        </w:rPr>
        <w:t>二、</w:t>
      </w:r>
      <w:r>
        <w:rPr>
          <w:rFonts w:hint="eastAsia"/>
        </w:rPr>
        <w:t>施工总进度计划</w:t>
      </w:r>
      <w:bookmarkEnd w:id="184"/>
      <w:bookmarkEnd w:id="185"/>
    </w:p>
    <w:p>
      <w:pPr>
        <w:shd w:val="clear"/>
        <w:bidi w:val="0"/>
        <w:spacing w:line="240" w:lineRule="auto"/>
      </w:pPr>
    </w:p>
    <w:sectPr>
      <w:headerReference r:id="rId8" w:type="default"/>
      <w:footerReference r:id="rId9" w:type="default"/>
      <w:footerReference r:id="rId10" w:type="even"/>
      <w:type w:val="continuous"/>
      <w:pgSz w:w="11850" w:h="16783"/>
      <w:pgMar w:top="1418" w:right="1304" w:bottom="1814" w:left="1304" w:header="1134" w:footer="1191" w:gutter="0"/>
      <w:pgNumType w:fmt="decimal" w:chapStyle="1"/>
      <w:cols w:space="425" w:num="1"/>
      <w:docGrid w:type="linesAndChars" w:linePitch="560" w:charSpace="110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隶书">
    <w:altName w:val="报隶-简"/>
    <w:panose1 w:val="02010509060101010101"/>
    <w:charset w:val="86"/>
    <w:family w:val="modern"/>
    <w:pitch w:val="default"/>
    <w:sig w:usb0="00000000" w:usb1="00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楷体_GB2312">
    <w:altName w:val="汉仪楷体简"/>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TYPE">
    <w:altName w:val="苹方-简"/>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AFF" w:usb1="C000605B" w:usb2="00000029" w:usb3="00000000" w:csb0="200101FF" w:csb1="20280000"/>
  </w:font>
  <w:font w:name="Dutch801 Rm BT">
    <w:altName w:val="苹方-简"/>
    <w:panose1 w:val="02020603060505020304"/>
    <w:charset w:val="00"/>
    <w:family w:val="roman"/>
    <w:pitch w:val="default"/>
    <w:sig w:usb0="00000000" w:usb1="00000000" w:usb2="00000000" w:usb3="00000000" w:csb0="00000000" w:csb1="00000000"/>
  </w:font>
  <w:font w:name="汉仪书宋一简">
    <w:altName w:val="苹方-简"/>
    <w:panose1 w:val="00000000000000000000"/>
    <w:charset w:val="86"/>
    <w:family w:val="auto"/>
    <w:pitch w:val="default"/>
    <w:sig w:usb0="00000000" w:usb1="00000000" w:usb2="00000000" w:usb3="00000000" w:csb0="00040001" w:csb1="00000000"/>
  </w:font>
  <w:font w:name="Dutch801 XBd BT">
    <w:altName w:val="苹方-简"/>
    <w:panose1 w:val="02020903060505020304"/>
    <w:charset w:val="00"/>
    <w:family w:val="roman"/>
    <w:pitch w:val="default"/>
    <w:sig w:usb0="00000000" w:usb1="00000000" w:usb2="00000000" w:usb3="00000000" w:csb0="00000000" w:csb1="00000000"/>
  </w:font>
  <w:font w:name="汉仪大宋简">
    <w:altName w:val="汉仪书宋二KW"/>
    <w:panose1 w:val="00000000000000000000"/>
    <w:charset w:val="86"/>
    <w:family w:val="auto"/>
    <w:pitch w:val="default"/>
    <w:sig w:usb0="00000000" w:usb1="00000000" w:usb2="00000000" w:usb3="00000000" w:csb0="00040001" w:csb1="00000000"/>
  </w:font>
  <w:font w:name="长城粗隶书">
    <w:altName w:val="报隶-简"/>
    <w:panose1 w:val="00000000000000000000"/>
    <w:charset w:val="86"/>
    <w:family w:val="auto"/>
    <w:pitch w:val="default"/>
    <w:sig w:usb0="00000000" w:usb1="00000000" w:usb2="00000000" w:usb3="00000000" w:csb0="00040001" w:csb1="00000000"/>
  </w:font>
  <w:font w:name="Cambria">
    <w:altName w:val="苹方-简"/>
    <w:panose1 w:val="02040503050406030204"/>
    <w:charset w:val="00"/>
    <w:family w:val="roman"/>
    <w:pitch w:val="default"/>
    <w:sig w:usb0="00000000" w:usb1="00000000" w:usb2="02000000" w:usb3="00000000" w:csb0="2000019F" w:csb1="00000000"/>
  </w:font>
  <w:font w:name="全真中明體">
    <w:altName w:val="苹方-简"/>
    <w:panose1 w:val="00000000000000000000"/>
    <w:charset w:val="88"/>
    <w:family w:val="auto"/>
    <w:pitch w:val="default"/>
    <w:sig w:usb0="00000000" w:usb1="00000000" w:usb2="00000000" w:usb3="00000000" w:csb0="00040001" w:csb1="00000000"/>
  </w:font>
  <w:font w:name="汉仪中宋简">
    <w:altName w:val="汉仪书宋二KW"/>
    <w:panose1 w:val="00000000000000000000"/>
    <w:charset w:val="86"/>
    <w:family w:val="auto"/>
    <w:pitch w:val="default"/>
    <w:sig w:usb0="00000000" w:usb1="00000000" w:usb2="00000000" w:usb3="00000000" w:csb0="00040001" w:csb1="00000000"/>
  </w:font>
  <w:font w:name="华文中宋">
    <w:altName w:val="汉仪书宋二KW"/>
    <w:panose1 w:val="02010600040101010101"/>
    <w:charset w:val="86"/>
    <w:family w:val="auto"/>
    <w:pitch w:val="default"/>
    <w:sig w:usb0="00000000" w:usb1="00000000" w:usb2="00000000" w:usb3="00000000" w:csb0="0004009F" w:csb1="DFD70000"/>
  </w:font>
  <w:font w:name="ISOCP">
    <w:altName w:val="苹方-简"/>
    <w:panose1 w:val="00000400000000000000"/>
    <w:charset w:val="00"/>
    <w:family w:val="auto"/>
    <w:pitch w:val="default"/>
    <w:sig w:usb0="00000000" w:usb1="00000000" w:usb2="00000040" w:usb3="00000000" w:csb0="000001FF" w:csb1="00000000"/>
  </w:font>
  <w:font w:name="仿宋">
    <w:altName w:val="方正仿宋_GBK"/>
    <w:panose1 w:val="02010609060101010101"/>
    <w:charset w:val="86"/>
    <w:family w:val="auto"/>
    <w:pitch w:val="default"/>
    <w:sig w:usb0="00000000" w:usb1="00000000" w:usb2="00000016" w:usb3="00000000" w:csb0="00040001" w:csb1="00000000"/>
  </w:font>
  <w:font w:name="PingFangSC-Semibold">
    <w:panose1 w:val="020B0400000000000000"/>
    <w:charset w:val="86"/>
    <w:family w:val="roman"/>
    <w:pitch w:val="default"/>
    <w:sig w:usb0="A00002FF" w:usb1="7ACFFDFB" w:usb2="00000017" w:usb3="00000000" w:csb0="00040001" w:csb1="00000000"/>
  </w:font>
  <w:font w:name="Microsoft JhengHei">
    <w:altName w:val="汉仪中简黑简"/>
    <w:panose1 w:val="020B0604030504040204"/>
    <w:charset w:val="88"/>
    <w:family w:val="swiss"/>
    <w:pitch w:val="default"/>
    <w:sig w:usb0="00000000" w:usb1="00000000" w:usb2="00000016" w:usb3="00000000" w:csb0="00100009" w:csb1="00000000"/>
  </w:font>
  <w:font w:name="华文楷体">
    <w:panose1 w:val="02010600040101010101"/>
    <w:charset w:val="86"/>
    <w:family w:val="auto"/>
    <w:pitch w:val="default"/>
    <w:sig w:usb0="80000287" w:usb1="280F3C52" w:usb2="00000016" w:usb3="00000000" w:csb0="0004001F" w:csb1="00000000"/>
  </w:font>
  <w:font w:name="AdobeSongStd-Light">
    <w:altName w:val="苹方-简"/>
    <w:panose1 w:val="00000000000000000000"/>
    <w:charset w:val="86"/>
    <w:family w:val="auto"/>
    <w:pitch w:val="default"/>
    <w:sig w:usb0="00000000" w:usb1="00000000" w:usb2="0000001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MingLiU_HKSCS">
    <w:altName w:val="宋体-繁"/>
    <w:panose1 w:val="02020500000000000000"/>
    <w:charset w:val="88"/>
    <w:family w:val="roman"/>
    <w:pitch w:val="default"/>
    <w:sig w:usb0="00000000" w:usb1="00000000" w:usb2="00000016" w:usb3="00000000" w:csb0="00100001" w:csb1="00000000"/>
  </w:font>
  <w:font w:name="Helvetica">
    <w:panose1 w:val="00000000000000000000"/>
    <w:charset w:val="00"/>
    <w:family w:val="auto"/>
    <w:pitch w:val="default"/>
    <w:sig w:usb0="E00002FF" w:usb1="5000785B" w:usb2="00000000" w:usb3="00000000" w:csb0="2000019F" w:csb1="4F01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汉仪中简黑简">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007"/>
        <w:tab w:val="center" w:pos="10631"/>
      </w:tabs>
      <w:ind w:firstLine="180" w:firstLineChars="100"/>
      <w:jc w:val="left"/>
      <w:rPr>
        <w:sz w:val="18"/>
        <w:szCs w:val="18"/>
      </w:rPr>
    </w:pPr>
  </w:p>
  <w:p>
    <w:pPr>
      <w:tabs>
        <w:tab w:val="left" w:pos="1007"/>
        <w:tab w:val="center" w:pos="10631"/>
      </w:tabs>
      <w:ind w:firstLine="180" w:firstLineChars="100"/>
      <w:jc w:val="lef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1007"/>
        <w:tab w:val="center" w:pos="10631"/>
      </w:tabs>
      <w:spacing w:line="240" w:lineRule="auto"/>
      <w:ind w:firstLine="240" w:firstLineChars="100"/>
      <w:jc w:val="left"/>
      <w:rPr>
        <w:sz w:val="18"/>
        <w:szCs w:val="18"/>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9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IuWvRrKAQAAmwMAAA4AAAAA&#10;AAAAAQAgAAAANAEAAGRycy9lMm9Eb2MueG1sUEsFBgAAAAAGAAYAWQEAAHAFAAAAAA==&#10;">
              <v:fill on="f" focussize="0,0"/>
              <v:stroke on="f"/>
              <v:imagedata o:title=""/>
              <o:lock v:ext="edit" aspectratio="f"/>
              <v:textbox inset="0mm,0mm,0mm,0mm" style="mso-fit-shape-to-text:t;">
                <w:txbxContent>
                  <w:p>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9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B9buF2ywEAAJsDAAAOAAAA&#10;AAAAAAEAIAAAADQBAABkcnMvZTJvRG9jLnhtbFBLBQYAAAAABgAGAFkBAABxBQAAAAA=&#10;">
              <v:fill on="f" focussize="0,0"/>
              <v:stroke on="f"/>
              <v:imagedata o:title=""/>
              <o:lock v:ext="edit" aspectratio="f"/>
              <v:textbox inset="0mm,0mm,0mm,0mm" style="mso-fit-shape-to-text:t;">
                <w:txbxContent>
                  <w:p>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separate"/>
    </w:r>
    <w:r>
      <w:t>1</w:t>
    </w:r>
    <w:r>
      <w:fldChar w:fldCharType="end"/>
    </w:r>
  </w:p>
  <w:p>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keepNext w:val="0"/>
      <w:keepLines w:val="0"/>
      <w:pageBreakBefore w:val="0"/>
      <w:widowControl w:val="0"/>
      <w:pBdr>
        <w:bottom w:val="single" w:color="auto" w:sz="4" w:space="1"/>
      </w:pBdr>
      <w:kinsoku/>
      <w:wordWrap/>
      <w:overflowPunct/>
      <w:topLinePunct w:val="0"/>
      <w:autoSpaceDE/>
      <w:autoSpaceDN/>
      <w:bidi w:val="0"/>
      <w:adjustRightInd/>
      <w:snapToGrid w:val="0"/>
      <w:spacing w:line="240" w:lineRule="auto"/>
      <w:ind w:firstLine="880" w:firstLineChars="400"/>
      <w:jc w:val="both"/>
      <w:textAlignment w:val="auto"/>
    </w:pPr>
    <w:r>
      <w:rPr>
        <w:rFonts w:hint="eastAsia" w:ascii="黑体" w:eastAsia="黑体"/>
        <w:sz w:val="22"/>
        <w:szCs w:val="22"/>
        <w:u w:val="none"/>
        <w:lang w:val="en-US" w:eastAsia="zh-CN"/>
      </w:rPr>
      <w:drawing>
        <wp:anchor distT="0" distB="0" distL="114300" distR="114300" simplePos="0" relativeHeight="251659264" behindDoc="0" locked="0" layoutInCell="1" allowOverlap="1">
          <wp:simplePos x="0" y="0"/>
          <wp:positionH relativeFrom="column">
            <wp:posOffset>102870</wp:posOffset>
          </wp:positionH>
          <wp:positionV relativeFrom="paragraph">
            <wp:posOffset>-34925</wp:posOffset>
          </wp:positionV>
          <wp:extent cx="1192530" cy="262890"/>
          <wp:effectExtent l="0" t="0" r="7620" b="3810"/>
          <wp:wrapNone/>
          <wp:docPr id="10" name="图片 10" descr="d950d1c522a2ffaf5a59d1eb4ee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950d1c522a2ffaf5a59d1eb4ee3031"/>
                  <pic:cNvPicPr>
                    <a:picLocks noChangeAspect="1"/>
                  </pic:cNvPicPr>
                </pic:nvPicPr>
                <pic:blipFill>
                  <a:blip r:embed="rId1"/>
                  <a:stretch>
                    <a:fillRect/>
                  </a:stretch>
                </pic:blipFill>
                <pic:spPr>
                  <a:xfrm>
                    <a:off x="0" y="0"/>
                    <a:ext cx="1192530" cy="262890"/>
                  </a:xfrm>
                  <a:prstGeom prst="rect">
                    <a:avLst/>
                  </a:prstGeom>
                </pic:spPr>
              </pic:pic>
            </a:graphicData>
          </a:graphic>
        </wp:anchor>
      </w:drawing>
    </w:r>
    <w:r>
      <w:rPr>
        <w:rFonts w:hint="eastAsia" w:ascii="宋体" w:hAnsi="宋体" w:cs="宋体"/>
        <w:color w:val="000000"/>
        <w:sz w:val="21"/>
        <w:szCs w:val="21"/>
        <w:lang w:val="en-US" w:eastAsia="zh-CN"/>
      </w:rPr>
      <w:t xml:space="preserve">                                                                   </w:t>
    </w:r>
    <w:r>
      <w:rPr>
        <w:rFonts w:hint="eastAsia" w:ascii="宋体" w:hAnsi="宋体" w:cs="宋体"/>
        <w:color w:val="000000"/>
        <w:sz w:val="21"/>
        <w:szCs w:val="21"/>
      </w:rPr>
      <w:t>施工组织设计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Bdr>
        <w:bottom w:val="none" w:color="auto" w:sz="0" w:space="1"/>
      </w:pBdr>
      <w:jc w:val="both"/>
      <w:rPr>
        <w:rFonts w:hint="eastAsia"/>
        <w:u w:val="singl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2EDB1"/>
    <w:multiLevelType w:val="singleLevel"/>
    <w:tmpl w:val="D9F2EDB1"/>
    <w:lvl w:ilvl="0" w:tentative="0">
      <w:start w:val="1"/>
      <w:numFmt w:val="decimal"/>
      <w:suff w:val="nothing"/>
      <w:lvlText w:val="%1、"/>
      <w:lvlJc w:val="left"/>
    </w:lvl>
  </w:abstractNum>
  <w:abstractNum w:abstractNumId="1">
    <w:nsid w:val="E5E9DDF9"/>
    <w:multiLevelType w:val="singleLevel"/>
    <w:tmpl w:val="E5E9DDF9"/>
    <w:lvl w:ilvl="0" w:tentative="0">
      <w:start w:val="1"/>
      <w:numFmt w:val="chineseCounting"/>
      <w:pStyle w:val="5"/>
      <w:suff w:val="nothing"/>
      <w:lvlText w:val="%1、"/>
      <w:lvlJc w:val="left"/>
      <w:pPr>
        <w:ind w:left="0" w:firstLine="420"/>
      </w:pPr>
      <w:rPr>
        <w:rFonts w:hint="eastAsia"/>
      </w:rPr>
    </w:lvl>
  </w:abstractNum>
  <w:abstractNum w:abstractNumId="2">
    <w:nsid w:val="F29E5548"/>
    <w:multiLevelType w:val="singleLevel"/>
    <w:tmpl w:val="F29E5548"/>
    <w:lvl w:ilvl="0" w:tentative="0">
      <w:start w:val="1"/>
      <w:numFmt w:val="chineseCounting"/>
      <w:pStyle w:val="6"/>
      <w:suff w:val="nothing"/>
      <w:lvlText w:val="（%1）"/>
      <w:lvlJc w:val="left"/>
      <w:pPr>
        <w:ind w:left="-160" w:firstLine="420"/>
      </w:pPr>
      <w:rPr>
        <w:rFonts w:hint="eastAsia"/>
        <w:b/>
        <w:bCs/>
      </w:rPr>
    </w:lvl>
  </w:abstractNum>
  <w:abstractNum w:abstractNumId="3">
    <w:nsid w:val="00000001"/>
    <w:multiLevelType w:val="singleLevel"/>
    <w:tmpl w:val="00000001"/>
    <w:lvl w:ilvl="0" w:tentative="0">
      <w:start w:val="1"/>
      <w:numFmt w:val="bullet"/>
      <w:pStyle w:val="151"/>
      <w:lvlText w:val=""/>
      <w:lvlJc w:val="left"/>
      <w:pPr>
        <w:tabs>
          <w:tab w:val="left" w:pos="1620"/>
        </w:tabs>
        <w:ind w:left="1620" w:hanging="360"/>
      </w:pPr>
      <w:rPr>
        <w:rFonts w:hint="default" w:ascii="Wingdings" w:hAnsi="Wingdings"/>
      </w:rPr>
    </w:lvl>
  </w:abstractNum>
  <w:abstractNum w:abstractNumId="4">
    <w:nsid w:val="00000003"/>
    <w:multiLevelType w:val="singleLevel"/>
    <w:tmpl w:val="00000003"/>
    <w:lvl w:ilvl="0" w:tentative="0">
      <w:start w:val="1"/>
      <w:numFmt w:val="bullet"/>
      <w:pStyle w:val="106"/>
      <w:lvlText w:val=""/>
      <w:lvlJc w:val="left"/>
      <w:pPr>
        <w:tabs>
          <w:tab w:val="left" w:pos="1200"/>
        </w:tabs>
        <w:ind w:left="1200" w:hanging="360"/>
      </w:pPr>
      <w:rPr>
        <w:rFonts w:hint="default" w:ascii="Wingdings" w:hAnsi="Wingdings"/>
      </w:rPr>
    </w:lvl>
  </w:abstractNum>
  <w:abstractNum w:abstractNumId="5">
    <w:nsid w:val="0000000D"/>
    <w:multiLevelType w:val="singleLevel"/>
    <w:tmpl w:val="0000000D"/>
    <w:lvl w:ilvl="0" w:tentative="0">
      <w:start w:val="1"/>
      <w:numFmt w:val="decimal"/>
      <w:pStyle w:val="133"/>
      <w:lvlText w:val="%1."/>
      <w:lvlJc w:val="left"/>
      <w:pPr>
        <w:tabs>
          <w:tab w:val="left" w:pos="2040"/>
        </w:tabs>
        <w:ind w:left="2040" w:hanging="360"/>
      </w:pPr>
    </w:lvl>
  </w:abstractNum>
  <w:abstractNum w:abstractNumId="6">
    <w:nsid w:val="0000000F"/>
    <w:multiLevelType w:val="singleLevel"/>
    <w:tmpl w:val="0000000F"/>
    <w:lvl w:ilvl="0" w:tentative="0">
      <w:start w:val="1"/>
      <w:numFmt w:val="decimal"/>
      <w:pStyle w:val="132"/>
      <w:lvlText w:val="%1."/>
      <w:lvlJc w:val="left"/>
      <w:pPr>
        <w:tabs>
          <w:tab w:val="left" w:pos="1620"/>
        </w:tabs>
        <w:ind w:left="1620" w:hanging="360"/>
      </w:pPr>
    </w:lvl>
  </w:abstractNum>
  <w:abstractNum w:abstractNumId="7">
    <w:nsid w:val="00000012"/>
    <w:multiLevelType w:val="singleLevel"/>
    <w:tmpl w:val="00000012"/>
    <w:lvl w:ilvl="0" w:tentative="0">
      <w:start w:val="1"/>
      <w:numFmt w:val="decimal"/>
      <w:pStyle w:val="131"/>
      <w:lvlText w:val="%1."/>
      <w:lvlJc w:val="left"/>
      <w:pPr>
        <w:tabs>
          <w:tab w:val="left" w:pos="1200"/>
        </w:tabs>
        <w:ind w:left="1200" w:hanging="360"/>
      </w:pPr>
    </w:lvl>
  </w:abstractNum>
  <w:abstractNum w:abstractNumId="8">
    <w:nsid w:val="00000013"/>
    <w:multiLevelType w:val="singleLevel"/>
    <w:tmpl w:val="00000013"/>
    <w:lvl w:ilvl="0" w:tentative="0">
      <w:start w:val="1"/>
      <w:numFmt w:val="decimal"/>
      <w:pStyle w:val="154"/>
      <w:lvlText w:val="%1."/>
      <w:lvlJc w:val="left"/>
      <w:pPr>
        <w:tabs>
          <w:tab w:val="left" w:pos="780"/>
        </w:tabs>
        <w:ind w:left="780" w:hanging="360"/>
      </w:pPr>
    </w:lvl>
  </w:abstractNum>
  <w:abstractNum w:abstractNumId="9">
    <w:nsid w:val="00000014"/>
    <w:multiLevelType w:val="singleLevel"/>
    <w:tmpl w:val="00000014"/>
    <w:lvl w:ilvl="0" w:tentative="0">
      <w:start w:val="1"/>
      <w:numFmt w:val="bullet"/>
      <w:pStyle w:val="96"/>
      <w:lvlText w:val=""/>
      <w:lvlJc w:val="left"/>
      <w:pPr>
        <w:tabs>
          <w:tab w:val="left" w:pos="2040"/>
        </w:tabs>
        <w:ind w:left="2040" w:hanging="360"/>
      </w:pPr>
      <w:rPr>
        <w:rFonts w:hint="default" w:ascii="Wingdings" w:hAnsi="Wingdings"/>
      </w:rPr>
    </w:lvl>
  </w:abstractNum>
  <w:abstractNum w:abstractNumId="10">
    <w:nsid w:val="00000015"/>
    <w:multiLevelType w:val="singleLevel"/>
    <w:tmpl w:val="00000015"/>
    <w:lvl w:ilvl="0" w:tentative="0">
      <w:start w:val="1"/>
      <w:numFmt w:val="decimal"/>
      <w:pStyle w:val="144"/>
      <w:lvlText w:val="%1."/>
      <w:lvlJc w:val="left"/>
      <w:pPr>
        <w:tabs>
          <w:tab w:val="left" w:pos="360"/>
        </w:tabs>
        <w:ind w:left="360" w:hanging="360"/>
      </w:pPr>
    </w:lvl>
  </w:abstractNum>
  <w:abstractNum w:abstractNumId="11">
    <w:nsid w:val="3CD46447"/>
    <w:multiLevelType w:val="multilevel"/>
    <w:tmpl w:val="3CD46447"/>
    <w:lvl w:ilvl="0" w:tentative="0">
      <w:start w:val="1"/>
      <w:numFmt w:val="decimal"/>
      <w:pStyle w:val="166"/>
      <w:lvlText w:val="1%1."/>
      <w:lvlJc w:val="left"/>
      <w:pPr>
        <w:tabs>
          <w:tab w:val="left" w:pos="414"/>
        </w:tabs>
        <w:ind w:left="1265" w:hanging="425"/>
      </w:pPr>
      <w:rPr>
        <w:rFonts w:hint="eastAsia"/>
      </w:rPr>
    </w:lvl>
    <w:lvl w:ilvl="1" w:tentative="0">
      <w:start w:val="1"/>
      <w:numFmt w:val="none"/>
      <w:lvlText w:val=""/>
      <w:lvlJc w:val="left"/>
      <w:pPr>
        <w:tabs>
          <w:tab w:val="left" w:pos="624"/>
        </w:tabs>
        <w:ind w:left="1926" w:hanging="888"/>
      </w:pPr>
      <w:rPr>
        <w:rFonts w:hint="eastAsia"/>
        <w:b w:val="0"/>
        <w:color w:val="auto"/>
        <w:sz w:val="28"/>
        <w:szCs w:val="28"/>
      </w:rPr>
    </w:lvl>
    <w:lvl w:ilvl="2" w:tentative="0">
      <w:start w:val="2"/>
      <w:numFmt w:val="decimal"/>
      <w:lvlText w:val="17.3.%3"/>
      <w:lvlJc w:val="left"/>
      <w:pPr>
        <w:tabs>
          <w:tab w:val="left" w:pos="-216"/>
        </w:tabs>
        <w:ind w:left="1438" w:hanging="709"/>
      </w:pPr>
      <w:rPr>
        <w:rFonts w:hint="default" w:ascii="Times New Roman" w:hAnsi="Times New Roman" w:eastAsia="宋体" w:cs="Times New Roman"/>
        <w:color w:val="auto"/>
      </w:rPr>
    </w:lvl>
    <w:lvl w:ilvl="3" w:tentative="0">
      <w:start w:val="1"/>
      <w:numFmt w:val="decimal"/>
      <w:lvlText w:val="%4）"/>
      <w:lvlJc w:val="left"/>
      <w:pPr>
        <w:tabs>
          <w:tab w:val="left" w:pos="414"/>
        </w:tabs>
        <w:ind w:left="1685" w:hanging="851"/>
      </w:pPr>
      <w:rPr>
        <w:rFonts w:hint="eastAsia" w:ascii="Times New Roman" w:hAnsi="Times New Roman" w:eastAsia="宋体" w:cs="Times New Roman"/>
      </w:rPr>
    </w:lvl>
    <w:lvl w:ilvl="4" w:tentative="0">
      <w:start w:val="1"/>
      <w:numFmt w:val="decimal"/>
      <w:lvlText w:val="%1.%2.%3.%4.%5."/>
      <w:lvlJc w:val="left"/>
      <w:pPr>
        <w:tabs>
          <w:tab w:val="left" w:pos="414"/>
        </w:tabs>
        <w:ind w:left="1826" w:hanging="992"/>
      </w:pPr>
      <w:rPr>
        <w:rFonts w:hint="eastAsia"/>
      </w:rPr>
    </w:lvl>
    <w:lvl w:ilvl="5" w:tentative="0">
      <w:start w:val="1"/>
      <w:numFmt w:val="decimal"/>
      <w:lvlText w:val="%1.%2.%3.%4.%5.%6."/>
      <w:lvlJc w:val="left"/>
      <w:pPr>
        <w:tabs>
          <w:tab w:val="left" w:pos="414"/>
        </w:tabs>
        <w:ind w:left="1968" w:hanging="1134"/>
      </w:pPr>
      <w:rPr>
        <w:rFonts w:hint="eastAsia"/>
      </w:rPr>
    </w:lvl>
    <w:lvl w:ilvl="6" w:tentative="0">
      <w:start w:val="1"/>
      <w:numFmt w:val="decimal"/>
      <w:lvlText w:val="%1.%2.%3.%4.%5.%6.%7."/>
      <w:lvlJc w:val="left"/>
      <w:pPr>
        <w:tabs>
          <w:tab w:val="left" w:pos="414"/>
        </w:tabs>
        <w:ind w:left="2110" w:hanging="1276"/>
      </w:pPr>
      <w:rPr>
        <w:rFonts w:hint="eastAsia"/>
      </w:rPr>
    </w:lvl>
    <w:lvl w:ilvl="7" w:tentative="0">
      <w:start w:val="1"/>
      <w:numFmt w:val="decimal"/>
      <w:lvlText w:val="%1.%2.%3.%4.%5.%6.%7.%8."/>
      <w:lvlJc w:val="left"/>
      <w:pPr>
        <w:tabs>
          <w:tab w:val="left" w:pos="414"/>
        </w:tabs>
        <w:ind w:left="2252" w:hanging="1418"/>
      </w:pPr>
      <w:rPr>
        <w:rFonts w:hint="eastAsia"/>
      </w:rPr>
    </w:lvl>
    <w:lvl w:ilvl="8" w:tentative="0">
      <w:start w:val="1"/>
      <w:numFmt w:val="decimal"/>
      <w:lvlText w:val="%1.%2.%3.%4.%5.%6.%7.%8.%9."/>
      <w:lvlJc w:val="left"/>
      <w:pPr>
        <w:tabs>
          <w:tab w:val="left" w:pos="414"/>
        </w:tabs>
        <w:ind w:left="2393" w:hanging="1559"/>
      </w:pPr>
      <w:rPr>
        <w:rFonts w:hint="eastAsia"/>
      </w:rPr>
    </w:lvl>
  </w:abstractNum>
  <w:abstractNum w:abstractNumId="12">
    <w:nsid w:val="579023C5"/>
    <w:multiLevelType w:val="singleLevel"/>
    <w:tmpl w:val="579023C5"/>
    <w:lvl w:ilvl="0" w:tentative="0">
      <w:start w:val="1"/>
      <w:numFmt w:val="chineseCounting"/>
      <w:suff w:val="space"/>
      <w:lvlText w:val="第%1节"/>
      <w:lvlJc w:val="left"/>
      <w:rPr>
        <w:rFonts w:hint="eastAsia"/>
      </w:rPr>
    </w:lvl>
  </w:abstractNum>
  <w:abstractNum w:abstractNumId="13">
    <w:nsid w:val="62B075B7"/>
    <w:multiLevelType w:val="singleLevel"/>
    <w:tmpl w:val="62B075B7"/>
    <w:lvl w:ilvl="0" w:tentative="0">
      <w:start w:val="1"/>
      <w:numFmt w:val="decimal"/>
      <w:suff w:val="nothing"/>
      <w:lvlText w:val="%1、"/>
      <w:lvlJc w:val="left"/>
    </w:lvl>
  </w:abstractNum>
  <w:abstractNum w:abstractNumId="14">
    <w:nsid w:val="68556691"/>
    <w:multiLevelType w:val="singleLevel"/>
    <w:tmpl w:val="68556691"/>
    <w:lvl w:ilvl="0" w:tentative="0">
      <w:start w:val="1"/>
      <w:numFmt w:val="decimal"/>
      <w:lvlText w:val="%1."/>
      <w:lvlJc w:val="left"/>
      <w:pPr>
        <w:tabs>
          <w:tab w:val="left" w:pos="312"/>
        </w:tabs>
      </w:pPr>
    </w:lvl>
  </w:abstractNum>
  <w:abstractNum w:abstractNumId="15">
    <w:nsid w:val="6A2FD85C"/>
    <w:multiLevelType w:val="singleLevel"/>
    <w:tmpl w:val="6A2FD85C"/>
    <w:lvl w:ilvl="0" w:tentative="0">
      <w:start w:val="1"/>
      <w:numFmt w:val="decimal"/>
      <w:isLgl/>
      <w:suff w:val="nothing"/>
      <w:lvlText w:val="%1、"/>
      <w:lvlJc w:val="left"/>
      <w:pPr>
        <w:tabs>
          <w:tab w:val="left" w:pos="420"/>
        </w:tabs>
        <w:ind w:left="425" w:hanging="425"/>
      </w:pPr>
      <w:rPr>
        <w:rFonts w:hint="default" w:ascii="宋体" w:hAnsi="宋体" w:eastAsia="宋体" w:cs="宋体"/>
      </w:rPr>
    </w:lvl>
  </w:abstractNum>
  <w:num w:numId="1">
    <w:abstractNumId w:val="1"/>
  </w:num>
  <w:num w:numId="2">
    <w:abstractNumId w:val="2"/>
  </w:num>
  <w:num w:numId="3">
    <w:abstractNumId w:val="9"/>
  </w:num>
  <w:num w:numId="4">
    <w:abstractNumId w:val="4"/>
  </w:num>
  <w:num w:numId="5">
    <w:abstractNumId w:val="7"/>
  </w:num>
  <w:num w:numId="6">
    <w:abstractNumId w:val="6"/>
  </w:num>
  <w:num w:numId="7">
    <w:abstractNumId w:val="5"/>
  </w:num>
  <w:num w:numId="8">
    <w:abstractNumId w:val="10"/>
  </w:num>
  <w:num w:numId="9">
    <w:abstractNumId w:val="3"/>
  </w:num>
  <w:num w:numId="10">
    <w:abstractNumId w:val="8"/>
  </w:num>
  <w:num w:numId="11">
    <w:abstractNumId w:val="11"/>
  </w:num>
  <w:num w:numId="12">
    <w:abstractNumId w:val="13"/>
  </w:num>
  <w:num w:numId="13">
    <w:abstractNumId w:val="14"/>
  </w:num>
  <w:num w:numId="14">
    <w:abstractNumId w:val="15"/>
    <w:lvlOverride w:ilvl="0">
      <w:startOverride w:val="1"/>
    </w:lvlOverride>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0"/>
  <w:bordersDoNotSurroundFooter w:val="0"/>
  <w:hideSpellingErrors/>
  <w:hideGrammaticalErrors/>
  <w:doNotTrackMoves/>
  <w:documentProtection w:enforcement="0"/>
  <w:defaultTabStop w:val="420"/>
  <w:drawingGridHorizontalSpacing w:val="2"/>
  <w:drawingGridVerticalSpacing w:val="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Mjg1NzJhYTM2Mjk3NzZiNDczOTkzODkxOTUwMDQifQ=="/>
  </w:docVars>
  <w:rsids>
    <w:rsidRoot w:val="00BF6361"/>
    <w:rsid w:val="00002724"/>
    <w:rsid w:val="000029FD"/>
    <w:rsid w:val="00003161"/>
    <w:rsid w:val="000053CB"/>
    <w:rsid w:val="00006F4C"/>
    <w:rsid w:val="00010503"/>
    <w:rsid w:val="000170A7"/>
    <w:rsid w:val="000255BE"/>
    <w:rsid w:val="000260A3"/>
    <w:rsid w:val="00034AE6"/>
    <w:rsid w:val="000400C0"/>
    <w:rsid w:val="0004172F"/>
    <w:rsid w:val="00050D63"/>
    <w:rsid w:val="00061D43"/>
    <w:rsid w:val="00061F50"/>
    <w:rsid w:val="0007019B"/>
    <w:rsid w:val="00073D70"/>
    <w:rsid w:val="000808F5"/>
    <w:rsid w:val="00081518"/>
    <w:rsid w:val="00082A28"/>
    <w:rsid w:val="00082BF2"/>
    <w:rsid w:val="0008334E"/>
    <w:rsid w:val="00083F80"/>
    <w:rsid w:val="0008463D"/>
    <w:rsid w:val="000869F8"/>
    <w:rsid w:val="00087229"/>
    <w:rsid w:val="0009061E"/>
    <w:rsid w:val="0009090F"/>
    <w:rsid w:val="0009210C"/>
    <w:rsid w:val="00093FD4"/>
    <w:rsid w:val="000A197E"/>
    <w:rsid w:val="000A6B6F"/>
    <w:rsid w:val="000B082B"/>
    <w:rsid w:val="000B26F9"/>
    <w:rsid w:val="000C776E"/>
    <w:rsid w:val="000C7B04"/>
    <w:rsid w:val="000D2859"/>
    <w:rsid w:val="000D5D06"/>
    <w:rsid w:val="000E36E5"/>
    <w:rsid w:val="000F31E5"/>
    <w:rsid w:val="00110F0A"/>
    <w:rsid w:val="00111F04"/>
    <w:rsid w:val="001144F0"/>
    <w:rsid w:val="001159DF"/>
    <w:rsid w:val="00135D49"/>
    <w:rsid w:val="00141921"/>
    <w:rsid w:val="001426D4"/>
    <w:rsid w:val="001429FC"/>
    <w:rsid w:val="00144AFB"/>
    <w:rsid w:val="00145EA0"/>
    <w:rsid w:val="00146765"/>
    <w:rsid w:val="00147803"/>
    <w:rsid w:val="00151E31"/>
    <w:rsid w:val="00152127"/>
    <w:rsid w:val="001565B3"/>
    <w:rsid w:val="001622F0"/>
    <w:rsid w:val="00162587"/>
    <w:rsid w:val="00162ADA"/>
    <w:rsid w:val="00163AF6"/>
    <w:rsid w:val="00164C21"/>
    <w:rsid w:val="00175966"/>
    <w:rsid w:val="00183713"/>
    <w:rsid w:val="00186236"/>
    <w:rsid w:val="0018680A"/>
    <w:rsid w:val="00191047"/>
    <w:rsid w:val="0019486E"/>
    <w:rsid w:val="001964D9"/>
    <w:rsid w:val="001A108A"/>
    <w:rsid w:val="001A2CFF"/>
    <w:rsid w:val="001B4396"/>
    <w:rsid w:val="001B43D2"/>
    <w:rsid w:val="001B5258"/>
    <w:rsid w:val="001C03D0"/>
    <w:rsid w:val="001C0581"/>
    <w:rsid w:val="001C05CF"/>
    <w:rsid w:val="001C357C"/>
    <w:rsid w:val="001C396D"/>
    <w:rsid w:val="001C71B6"/>
    <w:rsid w:val="001D41E5"/>
    <w:rsid w:val="001D5203"/>
    <w:rsid w:val="001D5F53"/>
    <w:rsid w:val="001D68EE"/>
    <w:rsid w:val="001D6A2D"/>
    <w:rsid w:val="001D707A"/>
    <w:rsid w:val="001E0AC1"/>
    <w:rsid w:val="001E138B"/>
    <w:rsid w:val="001E6A83"/>
    <w:rsid w:val="001F0912"/>
    <w:rsid w:val="001F0ACF"/>
    <w:rsid w:val="001F481A"/>
    <w:rsid w:val="001F5137"/>
    <w:rsid w:val="001F627A"/>
    <w:rsid w:val="00200267"/>
    <w:rsid w:val="0020708C"/>
    <w:rsid w:val="00207B95"/>
    <w:rsid w:val="002113D1"/>
    <w:rsid w:val="00211E26"/>
    <w:rsid w:val="00216351"/>
    <w:rsid w:val="002200FB"/>
    <w:rsid w:val="00231AF2"/>
    <w:rsid w:val="002341D4"/>
    <w:rsid w:val="002359FC"/>
    <w:rsid w:val="00236224"/>
    <w:rsid w:val="002402D6"/>
    <w:rsid w:val="00240EAB"/>
    <w:rsid w:val="00245E6E"/>
    <w:rsid w:val="00247C0A"/>
    <w:rsid w:val="0025153D"/>
    <w:rsid w:val="00255B5D"/>
    <w:rsid w:val="00256045"/>
    <w:rsid w:val="00257297"/>
    <w:rsid w:val="0026252A"/>
    <w:rsid w:val="00263DF9"/>
    <w:rsid w:val="00273BFF"/>
    <w:rsid w:val="00273F85"/>
    <w:rsid w:val="0027713F"/>
    <w:rsid w:val="0028096C"/>
    <w:rsid w:val="00280A13"/>
    <w:rsid w:val="00285452"/>
    <w:rsid w:val="002934DD"/>
    <w:rsid w:val="00293D40"/>
    <w:rsid w:val="00296074"/>
    <w:rsid w:val="002A0519"/>
    <w:rsid w:val="002A4813"/>
    <w:rsid w:val="002B245F"/>
    <w:rsid w:val="002B2FCB"/>
    <w:rsid w:val="002B54A2"/>
    <w:rsid w:val="002B5858"/>
    <w:rsid w:val="002B6594"/>
    <w:rsid w:val="002B708B"/>
    <w:rsid w:val="002C67B5"/>
    <w:rsid w:val="002D59D1"/>
    <w:rsid w:val="002D7214"/>
    <w:rsid w:val="002E172B"/>
    <w:rsid w:val="002E4141"/>
    <w:rsid w:val="002E5285"/>
    <w:rsid w:val="002F0537"/>
    <w:rsid w:val="002F45A5"/>
    <w:rsid w:val="002F5E68"/>
    <w:rsid w:val="003019BB"/>
    <w:rsid w:val="003106D7"/>
    <w:rsid w:val="003162DA"/>
    <w:rsid w:val="00317C87"/>
    <w:rsid w:val="003256C9"/>
    <w:rsid w:val="00332DEA"/>
    <w:rsid w:val="003333E8"/>
    <w:rsid w:val="00336E1F"/>
    <w:rsid w:val="00342CF8"/>
    <w:rsid w:val="003438CC"/>
    <w:rsid w:val="003439E6"/>
    <w:rsid w:val="0034703F"/>
    <w:rsid w:val="00347C58"/>
    <w:rsid w:val="003538FB"/>
    <w:rsid w:val="003632B4"/>
    <w:rsid w:val="00363C97"/>
    <w:rsid w:val="00370250"/>
    <w:rsid w:val="0037144A"/>
    <w:rsid w:val="00372618"/>
    <w:rsid w:val="00372DD3"/>
    <w:rsid w:val="00373882"/>
    <w:rsid w:val="00373C51"/>
    <w:rsid w:val="003746E6"/>
    <w:rsid w:val="00374774"/>
    <w:rsid w:val="00375EBA"/>
    <w:rsid w:val="00376F97"/>
    <w:rsid w:val="00386597"/>
    <w:rsid w:val="00387ACC"/>
    <w:rsid w:val="00392C74"/>
    <w:rsid w:val="00394E53"/>
    <w:rsid w:val="003A123B"/>
    <w:rsid w:val="003A237D"/>
    <w:rsid w:val="003A330E"/>
    <w:rsid w:val="003A7B32"/>
    <w:rsid w:val="003B38E7"/>
    <w:rsid w:val="003B64AB"/>
    <w:rsid w:val="003C0850"/>
    <w:rsid w:val="003C0AD4"/>
    <w:rsid w:val="003C5957"/>
    <w:rsid w:val="003C67B1"/>
    <w:rsid w:val="003D640A"/>
    <w:rsid w:val="003D7368"/>
    <w:rsid w:val="003D79EF"/>
    <w:rsid w:val="003E1C8A"/>
    <w:rsid w:val="003E22CB"/>
    <w:rsid w:val="003E36D0"/>
    <w:rsid w:val="003E4E9A"/>
    <w:rsid w:val="003F596A"/>
    <w:rsid w:val="003F6181"/>
    <w:rsid w:val="003F7A7C"/>
    <w:rsid w:val="003F7ED9"/>
    <w:rsid w:val="004009B6"/>
    <w:rsid w:val="00405A01"/>
    <w:rsid w:val="00405B72"/>
    <w:rsid w:val="00406AEA"/>
    <w:rsid w:val="00407C32"/>
    <w:rsid w:val="00410BD5"/>
    <w:rsid w:val="00412804"/>
    <w:rsid w:val="004272A6"/>
    <w:rsid w:val="00430131"/>
    <w:rsid w:val="004313D8"/>
    <w:rsid w:val="0043220C"/>
    <w:rsid w:val="0043353E"/>
    <w:rsid w:val="00443AFB"/>
    <w:rsid w:val="00444023"/>
    <w:rsid w:val="00444FD6"/>
    <w:rsid w:val="00446CC6"/>
    <w:rsid w:val="00457853"/>
    <w:rsid w:val="00461C5A"/>
    <w:rsid w:val="00464CFA"/>
    <w:rsid w:val="00465C13"/>
    <w:rsid w:val="004710F3"/>
    <w:rsid w:val="00474911"/>
    <w:rsid w:val="00475AFD"/>
    <w:rsid w:val="00476A3A"/>
    <w:rsid w:val="00477154"/>
    <w:rsid w:val="0048020A"/>
    <w:rsid w:val="00481CDB"/>
    <w:rsid w:val="00493584"/>
    <w:rsid w:val="00494448"/>
    <w:rsid w:val="0049728B"/>
    <w:rsid w:val="004A4CC3"/>
    <w:rsid w:val="004A4EDA"/>
    <w:rsid w:val="004A543C"/>
    <w:rsid w:val="004B0B88"/>
    <w:rsid w:val="004B2871"/>
    <w:rsid w:val="004B4BFC"/>
    <w:rsid w:val="004B4D57"/>
    <w:rsid w:val="004B508D"/>
    <w:rsid w:val="004B545B"/>
    <w:rsid w:val="004B7437"/>
    <w:rsid w:val="004C0E06"/>
    <w:rsid w:val="004C17B7"/>
    <w:rsid w:val="004C4D54"/>
    <w:rsid w:val="004C5B26"/>
    <w:rsid w:val="004D7B66"/>
    <w:rsid w:val="004E0687"/>
    <w:rsid w:val="004E1E16"/>
    <w:rsid w:val="004E28A2"/>
    <w:rsid w:val="004E6250"/>
    <w:rsid w:val="004E7214"/>
    <w:rsid w:val="004F1AC9"/>
    <w:rsid w:val="004F293F"/>
    <w:rsid w:val="004F3970"/>
    <w:rsid w:val="004F50D0"/>
    <w:rsid w:val="00500259"/>
    <w:rsid w:val="0050738E"/>
    <w:rsid w:val="0050795E"/>
    <w:rsid w:val="0051188B"/>
    <w:rsid w:val="00511F28"/>
    <w:rsid w:val="00513460"/>
    <w:rsid w:val="005148AF"/>
    <w:rsid w:val="0051495E"/>
    <w:rsid w:val="00517147"/>
    <w:rsid w:val="00517A44"/>
    <w:rsid w:val="0052051F"/>
    <w:rsid w:val="00521994"/>
    <w:rsid w:val="005236FF"/>
    <w:rsid w:val="005251F9"/>
    <w:rsid w:val="005308F3"/>
    <w:rsid w:val="0053444F"/>
    <w:rsid w:val="00543780"/>
    <w:rsid w:val="00550A33"/>
    <w:rsid w:val="00557E1F"/>
    <w:rsid w:val="0056090F"/>
    <w:rsid w:val="005614A6"/>
    <w:rsid w:val="00562684"/>
    <w:rsid w:val="005667D7"/>
    <w:rsid w:val="00566920"/>
    <w:rsid w:val="00566D7B"/>
    <w:rsid w:val="005671FF"/>
    <w:rsid w:val="00572268"/>
    <w:rsid w:val="00573529"/>
    <w:rsid w:val="0057756B"/>
    <w:rsid w:val="005819DB"/>
    <w:rsid w:val="00581C19"/>
    <w:rsid w:val="005862B3"/>
    <w:rsid w:val="005933B3"/>
    <w:rsid w:val="0059395E"/>
    <w:rsid w:val="005962F4"/>
    <w:rsid w:val="005A0C93"/>
    <w:rsid w:val="005A7BE2"/>
    <w:rsid w:val="005B44F8"/>
    <w:rsid w:val="005B484C"/>
    <w:rsid w:val="005B5464"/>
    <w:rsid w:val="005B65E5"/>
    <w:rsid w:val="005C18F9"/>
    <w:rsid w:val="005C2F7B"/>
    <w:rsid w:val="005C54B3"/>
    <w:rsid w:val="005C6A0A"/>
    <w:rsid w:val="005D4F99"/>
    <w:rsid w:val="005E3BE4"/>
    <w:rsid w:val="005E7BB6"/>
    <w:rsid w:val="005E7E82"/>
    <w:rsid w:val="006045CA"/>
    <w:rsid w:val="0061292F"/>
    <w:rsid w:val="00621C19"/>
    <w:rsid w:val="00632610"/>
    <w:rsid w:val="0063695E"/>
    <w:rsid w:val="006418BA"/>
    <w:rsid w:val="006427D4"/>
    <w:rsid w:val="00643A25"/>
    <w:rsid w:val="006449B5"/>
    <w:rsid w:val="00647D17"/>
    <w:rsid w:val="00651DD4"/>
    <w:rsid w:val="00653F14"/>
    <w:rsid w:val="00661D5A"/>
    <w:rsid w:val="006624D7"/>
    <w:rsid w:val="00664EAE"/>
    <w:rsid w:val="0066513E"/>
    <w:rsid w:val="00672203"/>
    <w:rsid w:val="006730D7"/>
    <w:rsid w:val="00674AE9"/>
    <w:rsid w:val="0068114B"/>
    <w:rsid w:val="00684439"/>
    <w:rsid w:val="0068555D"/>
    <w:rsid w:val="00694C59"/>
    <w:rsid w:val="00694C88"/>
    <w:rsid w:val="00695EB7"/>
    <w:rsid w:val="00697B33"/>
    <w:rsid w:val="006A1414"/>
    <w:rsid w:val="006A438E"/>
    <w:rsid w:val="006A5002"/>
    <w:rsid w:val="006A572C"/>
    <w:rsid w:val="006A6085"/>
    <w:rsid w:val="006A680B"/>
    <w:rsid w:val="006B1BDD"/>
    <w:rsid w:val="006B2D94"/>
    <w:rsid w:val="006B77A9"/>
    <w:rsid w:val="006C5A39"/>
    <w:rsid w:val="006C70B6"/>
    <w:rsid w:val="006D1291"/>
    <w:rsid w:val="006D148E"/>
    <w:rsid w:val="006D24CC"/>
    <w:rsid w:val="006D2DCF"/>
    <w:rsid w:val="006D51C5"/>
    <w:rsid w:val="006D5627"/>
    <w:rsid w:val="006E12FF"/>
    <w:rsid w:val="006E4CB3"/>
    <w:rsid w:val="006E660E"/>
    <w:rsid w:val="006F390B"/>
    <w:rsid w:val="006F46F2"/>
    <w:rsid w:val="006F6455"/>
    <w:rsid w:val="0070077B"/>
    <w:rsid w:val="00701815"/>
    <w:rsid w:val="00706079"/>
    <w:rsid w:val="00716AB7"/>
    <w:rsid w:val="0071744D"/>
    <w:rsid w:val="00720137"/>
    <w:rsid w:val="00722E53"/>
    <w:rsid w:val="0072380A"/>
    <w:rsid w:val="00731F6D"/>
    <w:rsid w:val="007335B3"/>
    <w:rsid w:val="007409FD"/>
    <w:rsid w:val="00742F9F"/>
    <w:rsid w:val="00747D3F"/>
    <w:rsid w:val="00747FD0"/>
    <w:rsid w:val="0075034D"/>
    <w:rsid w:val="007544B3"/>
    <w:rsid w:val="007546C1"/>
    <w:rsid w:val="00756AAB"/>
    <w:rsid w:val="007574E4"/>
    <w:rsid w:val="00762CC6"/>
    <w:rsid w:val="00766A1A"/>
    <w:rsid w:val="00766DBB"/>
    <w:rsid w:val="00772A1F"/>
    <w:rsid w:val="00774EE6"/>
    <w:rsid w:val="00786C15"/>
    <w:rsid w:val="0078766B"/>
    <w:rsid w:val="00787ABB"/>
    <w:rsid w:val="0079061D"/>
    <w:rsid w:val="00790EF0"/>
    <w:rsid w:val="00795D5A"/>
    <w:rsid w:val="007B01A9"/>
    <w:rsid w:val="007B617B"/>
    <w:rsid w:val="007B66DC"/>
    <w:rsid w:val="007C1631"/>
    <w:rsid w:val="007C29D8"/>
    <w:rsid w:val="007C6AB6"/>
    <w:rsid w:val="007D3AF3"/>
    <w:rsid w:val="007D58DE"/>
    <w:rsid w:val="007D67C0"/>
    <w:rsid w:val="007D6E88"/>
    <w:rsid w:val="007E1E93"/>
    <w:rsid w:val="007E2334"/>
    <w:rsid w:val="007E6E2F"/>
    <w:rsid w:val="00806D6C"/>
    <w:rsid w:val="00812015"/>
    <w:rsid w:val="008139DE"/>
    <w:rsid w:val="00814028"/>
    <w:rsid w:val="0082012E"/>
    <w:rsid w:val="00827E88"/>
    <w:rsid w:val="008307C3"/>
    <w:rsid w:val="00833884"/>
    <w:rsid w:val="00834F71"/>
    <w:rsid w:val="0083550A"/>
    <w:rsid w:val="0083774D"/>
    <w:rsid w:val="00841F8C"/>
    <w:rsid w:val="008426B7"/>
    <w:rsid w:val="00846620"/>
    <w:rsid w:val="00851808"/>
    <w:rsid w:val="008557DB"/>
    <w:rsid w:val="00860DC5"/>
    <w:rsid w:val="008673E6"/>
    <w:rsid w:val="00870134"/>
    <w:rsid w:val="00872EA2"/>
    <w:rsid w:val="00874335"/>
    <w:rsid w:val="00877311"/>
    <w:rsid w:val="00884C58"/>
    <w:rsid w:val="00886673"/>
    <w:rsid w:val="008902EF"/>
    <w:rsid w:val="00892042"/>
    <w:rsid w:val="00892C43"/>
    <w:rsid w:val="00895F56"/>
    <w:rsid w:val="008976AD"/>
    <w:rsid w:val="008A150F"/>
    <w:rsid w:val="008A3E40"/>
    <w:rsid w:val="008A7CA5"/>
    <w:rsid w:val="008B27BB"/>
    <w:rsid w:val="008B2C9E"/>
    <w:rsid w:val="008B3D73"/>
    <w:rsid w:val="008B61D2"/>
    <w:rsid w:val="008B7FFA"/>
    <w:rsid w:val="008C1F51"/>
    <w:rsid w:val="008C2D86"/>
    <w:rsid w:val="008C7F45"/>
    <w:rsid w:val="008E2632"/>
    <w:rsid w:val="008E394C"/>
    <w:rsid w:val="008E5995"/>
    <w:rsid w:val="008E6F4D"/>
    <w:rsid w:val="008E74AF"/>
    <w:rsid w:val="008F17B3"/>
    <w:rsid w:val="008F3EEE"/>
    <w:rsid w:val="008F49A8"/>
    <w:rsid w:val="008F5D2A"/>
    <w:rsid w:val="009029F8"/>
    <w:rsid w:val="009031F4"/>
    <w:rsid w:val="00903B20"/>
    <w:rsid w:val="009050B1"/>
    <w:rsid w:val="00920105"/>
    <w:rsid w:val="00921D8E"/>
    <w:rsid w:val="00922278"/>
    <w:rsid w:val="009226CF"/>
    <w:rsid w:val="0092343F"/>
    <w:rsid w:val="00924586"/>
    <w:rsid w:val="00924B3F"/>
    <w:rsid w:val="00934920"/>
    <w:rsid w:val="00944ABE"/>
    <w:rsid w:val="00952647"/>
    <w:rsid w:val="00953CE6"/>
    <w:rsid w:val="00954A40"/>
    <w:rsid w:val="00954E3F"/>
    <w:rsid w:val="009617DB"/>
    <w:rsid w:val="00961958"/>
    <w:rsid w:val="009629C1"/>
    <w:rsid w:val="00967F98"/>
    <w:rsid w:val="00970B81"/>
    <w:rsid w:val="00971502"/>
    <w:rsid w:val="00972ECB"/>
    <w:rsid w:val="00973F9F"/>
    <w:rsid w:val="009762A9"/>
    <w:rsid w:val="009777B7"/>
    <w:rsid w:val="00984597"/>
    <w:rsid w:val="00984C9B"/>
    <w:rsid w:val="00987166"/>
    <w:rsid w:val="0098797B"/>
    <w:rsid w:val="0099092E"/>
    <w:rsid w:val="0099213F"/>
    <w:rsid w:val="00993DAA"/>
    <w:rsid w:val="00994BE9"/>
    <w:rsid w:val="0099765C"/>
    <w:rsid w:val="009A247A"/>
    <w:rsid w:val="009A3758"/>
    <w:rsid w:val="009A416D"/>
    <w:rsid w:val="009A730B"/>
    <w:rsid w:val="009B00C6"/>
    <w:rsid w:val="009B1A07"/>
    <w:rsid w:val="009B1A53"/>
    <w:rsid w:val="009B2E15"/>
    <w:rsid w:val="009C4C99"/>
    <w:rsid w:val="009C5CBD"/>
    <w:rsid w:val="009C681D"/>
    <w:rsid w:val="009C7557"/>
    <w:rsid w:val="009C7BB7"/>
    <w:rsid w:val="009D1FCF"/>
    <w:rsid w:val="009D2A85"/>
    <w:rsid w:val="009F13C1"/>
    <w:rsid w:val="009F2C09"/>
    <w:rsid w:val="009F3588"/>
    <w:rsid w:val="009F5D3E"/>
    <w:rsid w:val="00A008FC"/>
    <w:rsid w:val="00A01604"/>
    <w:rsid w:val="00A02A96"/>
    <w:rsid w:val="00A02DF0"/>
    <w:rsid w:val="00A10B2D"/>
    <w:rsid w:val="00A12347"/>
    <w:rsid w:val="00A123B8"/>
    <w:rsid w:val="00A12550"/>
    <w:rsid w:val="00A142E2"/>
    <w:rsid w:val="00A1656A"/>
    <w:rsid w:val="00A23D89"/>
    <w:rsid w:val="00A30D13"/>
    <w:rsid w:val="00A31314"/>
    <w:rsid w:val="00A33C70"/>
    <w:rsid w:val="00A3726F"/>
    <w:rsid w:val="00A40014"/>
    <w:rsid w:val="00A43B0B"/>
    <w:rsid w:val="00A70BEB"/>
    <w:rsid w:val="00A72F91"/>
    <w:rsid w:val="00A7585B"/>
    <w:rsid w:val="00A76347"/>
    <w:rsid w:val="00A81EED"/>
    <w:rsid w:val="00A82DA2"/>
    <w:rsid w:val="00A83178"/>
    <w:rsid w:val="00A8495A"/>
    <w:rsid w:val="00A86771"/>
    <w:rsid w:val="00A86772"/>
    <w:rsid w:val="00A910D0"/>
    <w:rsid w:val="00A92346"/>
    <w:rsid w:val="00A95C86"/>
    <w:rsid w:val="00AA1B31"/>
    <w:rsid w:val="00AA404C"/>
    <w:rsid w:val="00AA4166"/>
    <w:rsid w:val="00AA6866"/>
    <w:rsid w:val="00AA6E17"/>
    <w:rsid w:val="00AA7D32"/>
    <w:rsid w:val="00AB151E"/>
    <w:rsid w:val="00AB3FA9"/>
    <w:rsid w:val="00AB56BC"/>
    <w:rsid w:val="00AB7C46"/>
    <w:rsid w:val="00AC2632"/>
    <w:rsid w:val="00AD0A46"/>
    <w:rsid w:val="00AD3165"/>
    <w:rsid w:val="00AD62E3"/>
    <w:rsid w:val="00AE25C5"/>
    <w:rsid w:val="00AE55C3"/>
    <w:rsid w:val="00AE6037"/>
    <w:rsid w:val="00AF167A"/>
    <w:rsid w:val="00AF34F6"/>
    <w:rsid w:val="00AF67E4"/>
    <w:rsid w:val="00B05075"/>
    <w:rsid w:val="00B062C3"/>
    <w:rsid w:val="00B06D74"/>
    <w:rsid w:val="00B06F95"/>
    <w:rsid w:val="00B12779"/>
    <w:rsid w:val="00B146EE"/>
    <w:rsid w:val="00B233FD"/>
    <w:rsid w:val="00B245E5"/>
    <w:rsid w:val="00B24738"/>
    <w:rsid w:val="00B304D2"/>
    <w:rsid w:val="00B33C44"/>
    <w:rsid w:val="00B35657"/>
    <w:rsid w:val="00B4340A"/>
    <w:rsid w:val="00B44607"/>
    <w:rsid w:val="00B47267"/>
    <w:rsid w:val="00B50AD2"/>
    <w:rsid w:val="00B52E4A"/>
    <w:rsid w:val="00B67230"/>
    <w:rsid w:val="00B75F96"/>
    <w:rsid w:val="00B7629E"/>
    <w:rsid w:val="00B802E9"/>
    <w:rsid w:val="00B83A12"/>
    <w:rsid w:val="00B85CCE"/>
    <w:rsid w:val="00B86BA4"/>
    <w:rsid w:val="00B86FF7"/>
    <w:rsid w:val="00B8759F"/>
    <w:rsid w:val="00B92CDC"/>
    <w:rsid w:val="00B92FFF"/>
    <w:rsid w:val="00B9478E"/>
    <w:rsid w:val="00B95B88"/>
    <w:rsid w:val="00B96D43"/>
    <w:rsid w:val="00BA3E24"/>
    <w:rsid w:val="00BB1264"/>
    <w:rsid w:val="00BB34B9"/>
    <w:rsid w:val="00BB6701"/>
    <w:rsid w:val="00BB77BA"/>
    <w:rsid w:val="00BC57AA"/>
    <w:rsid w:val="00BC7FDD"/>
    <w:rsid w:val="00BD4B04"/>
    <w:rsid w:val="00BD52A5"/>
    <w:rsid w:val="00BE011D"/>
    <w:rsid w:val="00BE0B13"/>
    <w:rsid w:val="00BE6EE6"/>
    <w:rsid w:val="00BE765E"/>
    <w:rsid w:val="00BF6361"/>
    <w:rsid w:val="00BF6779"/>
    <w:rsid w:val="00C011C7"/>
    <w:rsid w:val="00C0500A"/>
    <w:rsid w:val="00C05A04"/>
    <w:rsid w:val="00C06070"/>
    <w:rsid w:val="00C06A12"/>
    <w:rsid w:val="00C11930"/>
    <w:rsid w:val="00C131F6"/>
    <w:rsid w:val="00C14C32"/>
    <w:rsid w:val="00C16389"/>
    <w:rsid w:val="00C16682"/>
    <w:rsid w:val="00C16FF9"/>
    <w:rsid w:val="00C17390"/>
    <w:rsid w:val="00C30E89"/>
    <w:rsid w:val="00C313EF"/>
    <w:rsid w:val="00C32FE9"/>
    <w:rsid w:val="00C434C6"/>
    <w:rsid w:val="00C46269"/>
    <w:rsid w:val="00C52CC6"/>
    <w:rsid w:val="00C573B5"/>
    <w:rsid w:val="00C6213B"/>
    <w:rsid w:val="00C62218"/>
    <w:rsid w:val="00C64FF7"/>
    <w:rsid w:val="00C6797C"/>
    <w:rsid w:val="00C7046A"/>
    <w:rsid w:val="00C70607"/>
    <w:rsid w:val="00C719D9"/>
    <w:rsid w:val="00C727D8"/>
    <w:rsid w:val="00C72DB1"/>
    <w:rsid w:val="00C81DFE"/>
    <w:rsid w:val="00C81F8F"/>
    <w:rsid w:val="00C82F01"/>
    <w:rsid w:val="00C83D56"/>
    <w:rsid w:val="00C84162"/>
    <w:rsid w:val="00C8548E"/>
    <w:rsid w:val="00C873EF"/>
    <w:rsid w:val="00C92463"/>
    <w:rsid w:val="00CA0053"/>
    <w:rsid w:val="00CA5256"/>
    <w:rsid w:val="00CA7CCF"/>
    <w:rsid w:val="00CB2B74"/>
    <w:rsid w:val="00CC14C2"/>
    <w:rsid w:val="00CC61E1"/>
    <w:rsid w:val="00CD061D"/>
    <w:rsid w:val="00CD300A"/>
    <w:rsid w:val="00CD374B"/>
    <w:rsid w:val="00CD3D35"/>
    <w:rsid w:val="00CD5564"/>
    <w:rsid w:val="00CD6497"/>
    <w:rsid w:val="00CD76B9"/>
    <w:rsid w:val="00CE0033"/>
    <w:rsid w:val="00CE025F"/>
    <w:rsid w:val="00CE1796"/>
    <w:rsid w:val="00D11240"/>
    <w:rsid w:val="00D125E2"/>
    <w:rsid w:val="00D215EB"/>
    <w:rsid w:val="00D21A53"/>
    <w:rsid w:val="00D233F5"/>
    <w:rsid w:val="00D24B22"/>
    <w:rsid w:val="00D27F2F"/>
    <w:rsid w:val="00D3505F"/>
    <w:rsid w:val="00D36030"/>
    <w:rsid w:val="00D37621"/>
    <w:rsid w:val="00D4095A"/>
    <w:rsid w:val="00D4129F"/>
    <w:rsid w:val="00D436C5"/>
    <w:rsid w:val="00D45CA8"/>
    <w:rsid w:val="00D51485"/>
    <w:rsid w:val="00D54D7D"/>
    <w:rsid w:val="00D57185"/>
    <w:rsid w:val="00D60D9E"/>
    <w:rsid w:val="00D61730"/>
    <w:rsid w:val="00D666BD"/>
    <w:rsid w:val="00D72C6E"/>
    <w:rsid w:val="00D7571F"/>
    <w:rsid w:val="00D81B26"/>
    <w:rsid w:val="00D83CA8"/>
    <w:rsid w:val="00D85603"/>
    <w:rsid w:val="00D85DC5"/>
    <w:rsid w:val="00D90AD8"/>
    <w:rsid w:val="00D9105E"/>
    <w:rsid w:val="00D96364"/>
    <w:rsid w:val="00DA4E48"/>
    <w:rsid w:val="00DA57E1"/>
    <w:rsid w:val="00DB03BE"/>
    <w:rsid w:val="00DB4846"/>
    <w:rsid w:val="00DB574B"/>
    <w:rsid w:val="00DB7EB4"/>
    <w:rsid w:val="00DC10DB"/>
    <w:rsid w:val="00DD0229"/>
    <w:rsid w:val="00DD07B1"/>
    <w:rsid w:val="00DD3F56"/>
    <w:rsid w:val="00DD7887"/>
    <w:rsid w:val="00DD7D36"/>
    <w:rsid w:val="00DE0CC0"/>
    <w:rsid w:val="00DE3360"/>
    <w:rsid w:val="00DE3D59"/>
    <w:rsid w:val="00DE59E6"/>
    <w:rsid w:val="00DF1017"/>
    <w:rsid w:val="00DF1DD4"/>
    <w:rsid w:val="00DF327F"/>
    <w:rsid w:val="00DF3390"/>
    <w:rsid w:val="00DF786A"/>
    <w:rsid w:val="00E036D4"/>
    <w:rsid w:val="00E05D5B"/>
    <w:rsid w:val="00E07F95"/>
    <w:rsid w:val="00E1382A"/>
    <w:rsid w:val="00E145D7"/>
    <w:rsid w:val="00E16B4E"/>
    <w:rsid w:val="00E21CB9"/>
    <w:rsid w:val="00E22C99"/>
    <w:rsid w:val="00E42106"/>
    <w:rsid w:val="00E45073"/>
    <w:rsid w:val="00E45A5F"/>
    <w:rsid w:val="00E47475"/>
    <w:rsid w:val="00E532D6"/>
    <w:rsid w:val="00E579A3"/>
    <w:rsid w:val="00E64155"/>
    <w:rsid w:val="00E70073"/>
    <w:rsid w:val="00E72700"/>
    <w:rsid w:val="00E74BF3"/>
    <w:rsid w:val="00E75639"/>
    <w:rsid w:val="00E81480"/>
    <w:rsid w:val="00E84A89"/>
    <w:rsid w:val="00E9003F"/>
    <w:rsid w:val="00E914B0"/>
    <w:rsid w:val="00E93D26"/>
    <w:rsid w:val="00EA7865"/>
    <w:rsid w:val="00EB4EE2"/>
    <w:rsid w:val="00EB79BE"/>
    <w:rsid w:val="00EC6901"/>
    <w:rsid w:val="00ED12C0"/>
    <w:rsid w:val="00ED1FD3"/>
    <w:rsid w:val="00ED4935"/>
    <w:rsid w:val="00ED52B8"/>
    <w:rsid w:val="00EE1C37"/>
    <w:rsid w:val="00EE238C"/>
    <w:rsid w:val="00EE53F8"/>
    <w:rsid w:val="00EE797F"/>
    <w:rsid w:val="00EF7C1D"/>
    <w:rsid w:val="00F107C9"/>
    <w:rsid w:val="00F11237"/>
    <w:rsid w:val="00F1308E"/>
    <w:rsid w:val="00F1371F"/>
    <w:rsid w:val="00F1496C"/>
    <w:rsid w:val="00F15F7F"/>
    <w:rsid w:val="00F17572"/>
    <w:rsid w:val="00F17C6D"/>
    <w:rsid w:val="00F20314"/>
    <w:rsid w:val="00F212D5"/>
    <w:rsid w:val="00F22A03"/>
    <w:rsid w:val="00F26D18"/>
    <w:rsid w:val="00F30CD8"/>
    <w:rsid w:val="00F31D3A"/>
    <w:rsid w:val="00F343F1"/>
    <w:rsid w:val="00F34FF0"/>
    <w:rsid w:val="00F359E9"/>
    <w:rsid w:val="00F3667C"/>
    <w:rsid w:val="00F36C3F"/>
    <w:rsid w:val="00F37529"/>
    <w:rsid w:val="00F42E1E"/>
    <w:rsid w:val="00F514FA"/>
    <w:rsid w:val="00F527D2"/>
    <w:rsid w:val="00F52D48"/>
    <w:rsid w:val="00F5322D"/>
    <w:rsid w:val="00F54895"/>
    <w:rsid w:val="00F55346"/>
    <w:rsid w:val="00F62735"/>
    <w:rsid w:val="00F65E9C"/>
    <w:rsid w:val="00F66060"/>
    <w:rsid w:val="00F661EC"/>
    <w:rsid w:val="00F70FDA"/>
    <w:rsid w:val="00F7515B"/>
    <w:rsid w:val="00F7619C"/>
    <w:rsid w:val="00F85863"/>
    <w:rsid w:val="00F859B5"/>
    <w:rsid w:val="00F9210A"/>
    <w:rsid w:val="00F957E5"/>
    <w:rsid w:val="00F9649F"/>
    <w:rsid w:val="00FA0ED4"/>
    <w:rsid w:val="00FA1971"/>
    <w:rsid w:val="00FB4215"/>
    <w:rsid w:val="00FB4531"/>
    <w:rsid w:val="00FB68FB"/>
    <w:rsid w:val="00FC3ED3"/>
    <w:rsid w:val="00FC5DC1"/>
    <w:rsid w:val="00FC61CC"/>
    <w:rsid w:val="00FC6DEF"/>
    <w:rsid w:val="00FC717A"/>
    <w:rsid w:val="00FD5FAB"/>
    <w:rsid w:val="00FE2559"/>
    <w:rsid w:val="00FE45A6"/>
    <w:rsid w:val="00FE5AC9"/>
    <w:rsid w:val="00FE78B6"/>
    <w:rsid w:val="00FF25DE"/>
    <w:rsid w:val="00FF3B07"/>
    <w:rsid w:val="00FF474E"/>
    <w:rsid w:val="00FF70FD"/>
    <w:rsid w:val="01250BA2"/>
    <w:rsid w:val="01C1197D"/>
    <w:rsid w:val="01CE2D31"/>
    <w:rsid w:val="02013B6C"/>
    <w:rsid w:val="02117BE3"/>
    <w:rsid w:val="024072E7"/>
    <w:rsid w:val="029C443C"/>
    <w:rsid w:val="03061825"/>
    <w:rsid w:val="031D0C6C"/>
    <w:rsid w:val="033B73A9"/>
    <w:rsid w:val="0388663C"/>
    <w:rsid w:val="03960E63"/>
    <w:rsid w:val="03BD57DA"/>
    <w:rsid w:val="03E2722B"/>
    <w:rsid w:val="03F400A8"/>
    <w:rsid w:val="03FD1917"/>
    <w:rsid w:val="040E0CA9"/>
    <w:rsid w:val="04205C3A"/>
    <w:rsid w:val="04365D91"/>
    <w:rsid w:val="044C3768"/>
    <w:rsid w:val="04526755"/>
    <w:rsid w:val="04C821F7"/>
    <w:rsid w:val="054047C0"/>
    <w:rsid w:val="05B55C2C"/>
    <w:rsid w:val="05B771E5"/>
    <w:rsid w:val="06091535"/>
    <w:rsid w:val="060A2482"/>
    <w:rsid w:val="06120390"/>
    <w:rsid w:val="067D155B"/>
    <w:rsid w:val="068F21A1"/>
    <w:rsid w:val="06943641"/>
    <w:rsid w:val="069761AE"/>
    <w:rsid w:val="06D93514"/>
    <w:rsid w:val="06F40736"/>
    <w:rsid w:val="072D2169"/>
    <w:rsid w:val="07374E86"/>
    <w:rsid w:val="07797C30"/>
    <w:rsid w:val="079E13DC"/>
    <w:rsid w:val="07BB3E6F"/>
    <w:rsid w:val="07C9229F"/>
    <w:rsid w:val="07F14F1D"/>
    <w:rsid w:val="07FD016F"/>
    <w:rsid w:val="080805D1"/>
    <w:rsid w:val="08344B05"/>
    <w:rsid w:val="08537C62"/>
    <w:rsid w:val="086C17EA"/>
    <w:rsid w:val="08A64FCD"/>
    <w:rsid w:val="08C70388"/>
    <w:rsid w:val="08E82FE7"/>
    <w:rsid w:val="08FF5F51"/>
    <w:rsid w:val="092C75D0"/>
    <w:rsid w:val="09341B82"/>
    <w:rsid w:val="094028C8"/>
    <w:rsid w:val="097035F9"/>
    <w:rsid w:val="098552F6"/>
    <w:rsid w:val="09951ECF"/>
    <w:rsid w:val="09F36A2C"/>
    <w:rsid w:val="0A15650A"/>
    <w:rsid w:val="0A23089E"/>
    <w:rsid w:val="0A4114C5"/>
    <w:rsid w:val="0A514AC3"/>
    <w:rsid w:val="0AC7563B"/>
    <w:rsid w:val="0B185485"/>
    <w:rsid w:val="0B220922"/>
    <w:rsid w:val="0B493A40"/>
    <w:rsid w:val="0B7C394D"/>
    <w:rsid w:val="0BBF1351"/>
    <w:rsid w:val="0BD31446"/>
    <w:rsid w:val="0C3C60D3"/>
    <w:rsid w:val="0C4B5C57"/>
    <w:rsid w:val="0C7A5BAE"/>
    <w:rsid w:val="0C9B58C1"/>
    <w:rsid w:val="0CA8764E"/>
    <w:rsid w:val="0CE229A5"/>
    <w:rsid w:val="0D7E5469"/>
    <w:rsid w:val="0D984ECC"/>
    <w:rsid w:val="0DB165C6"/>
    <w:rsid w:val="0DDC2306"/>
    <w:rsid w:val="0E067A17"/>
    <w:rsid w:val="0E1363CF"/>
    <w:rsid w:val="0E5A5483"/>
    <w:rsid w:val="0EA5193C"/>
    <w:rsid w:val="0EBA34BB"/>
    <w:rsid w:val="0EFC21E7"/>
    <w:rsid w:val="0F865627"/>
    <w:rsid w:val="0FB26623"/>
    <w:rsid w:val="0FCE5A66"/>
    <w:rsid w:val="0FED7751"/>
    <w:rsid w:val="1019325E"/>
    <w:rsid w:val="107C6F8A"/>
    <w:rsid w:val="10B4026F"/>
    <w:rsid w:val="10F920DE"/>
    <w:rsid w:val="11584002"/>
    <w:rsid w:val="117A1FB8"/>
    <w:rsid w:val="118116E7"/>
    <w:rsid w:val="1193257A"/>
    <w:rsid w:val="11B7725D"/>
    <w:rsid w:val="11BB73A2"/>
    <w:rsid w:val="11D8390D"/>
    <w:rsid w:val="123517BC"/>
    <w:rsid w:val="124F5200"/>
    <w:rsid w:val="128C4BBC"/>
    <w:rsid w:val="12A762DD"/>
    <w:rsid w:val="12EB23AD"/>
    <w:rsid w:val="130F4298"/>
    <w:rsid w:val="133B5BB5"/>
    <w:rsid w:val="134D64A6"/>
    <w:rsid w:val="136A2047"/>
    <w:rsid w:val="13B4124E"/>
    <w:rsid w:val="13D0406E"/>
    <w:rsid w:val="13D306BB"/>
    <w:rsid w:val="13EA2250"/>
    <w:rsid w:val="13F900B6"/>
    <w:rsid w:val="1406526F"/>
    <w:rsid w:val="147F5FF1"/>
    <w:rsid w:val="14A10B3F"/>
    <w:rsid w:val="15472683"/>
    <w:rsid w:val="15897F1C"/>
    <w:rsid w:val="159D0C85"/>
    <w:rsid w:val="15B64841"/>
    <w:rsid w:val="15FB36E6"/>
    <w:rsid w:val="161844A8"/>
    <w:rsid w:val="16337165"/>
    <w:rsid w:val="167918A6"/>
    <w:rsid w:val="16806E74"/>
    <w:rsid w:val="173B5246"/>
    <w:rsid w:val="176650E1"/>
    <w:rsid w:val="176D1EAB"/>
    <w:rsid w:val="17ED7C07"/>
    <w:rsid w:val="17F4557D"/>
    <w:rsid w:val="181623E6"/>
    <w:rsid w:val="181D2B9D"/>
    <w:rsid w:val="18803772"/>
    <w:rsid w:val="193C566A"/>
    <w:rsid w:val="195700B1"/>
    <w:rsid w:val="197D661F"/>
    <w:rsid w:val="197E300D"/>
    <w:rsid w:val="199D21E8"/>
    <w:rsid w:val="19A928E0"/>
    <w:rsid w:val="1A081EB6"/>
    <w:rsid w:val="1A2763C6"/>
    <w:rsid w:val="1A427EEB"/>
    <w:rsid w:val="1A6D3C1C"/>
    <w:rsid w:val="1ABD5460"/>
    <w:rsid w:val="1AF62155"/>
    <w:rsid w:val="1B0F411D"/>
    <w:rsid w:val="1B203724"/>
    <w:rsid w:val="1B6549DB"/>
    <w:rsid w:val="1BAA5AFB"/>
    <w:rsid w:val="1BB30CC7"/>
    <w:rsid w:val="1BE40B28"/>
    <w:rsid w:val="1C074B5F"/>
    <w:rsid w:val="1C093C59"/>
    <w:rsid w:val="1C0D4535"/>
    <w:rsid w:val="1C533032"/>
    <w:rsid w:val="1CA47DEB"/>
    <w:rsid w:val="1CAE1088"/>
    <w:rsid w:val="1CFD1B8F"/>
    <w:rsid w:val="1D77745B"/>
    <w:rsid w:val="1D7D4054"/>
    <w:rsid w:val="1DC7446F"/>
    <w:rsid w:val="1DFE0D7B"/>
    <w:rsid w:val="1E3A3F4D"/>
    <w:rsid w:val="1E7B11B5"/>
    <w:rsid w:val="1E98400A"/>
    <w:rsid w:val="1EA462BB"/>
    <w:rsid w:val="1EB77073"/>
    <w:rsid w:val="1F34258E"/>
    <w:rsid w:val="1F4A7483"/>
    <w:rsid w:val="1F816F49"/>
    <w:rsid w:val="1FCF2525"/>
    <w:rsid w:val="1FE43E92"/>
    <w:rsid w:val="200B75C9"/>
    <w:rsid w:val="2040522B"/>
    <w:rsid w:val="20752D2E"/>
    <w:rsid w:val="207E61A3"/>
    <w:rsid w:val="20807979"/>
    <w:rsid w:val="20887005"/>
    <w:rsid w:val="20A5019B"/>
    <w:rsid w:val="20BC1ABE"/>
    <w:rsid w:val="20D3029D"/>
    <w:rsid w:val="21020BB4"/>
    <w:rsid w:val="213728EF"/>
    <w:rsid w:val="213B1ECB"/>
    <w:rsid w:val="21B7554A"/>
    <w:rsid w:val="21D705DE"/>
    <w:rsid w:val="21F901D7"/>
    <w:rsid w:val="22270276"/>
    <w:rsid w:val="222A7599"/>
    <w:rsid w:val="22342FBD"/>
    <w:rsid w:val="22EC5A23"/>
    <w:rsid w:val="23F841ED"/>
    <w:rsid w:val="2402621B"/>
    <w:rsid w:val="240E140D"/>
    <w:rsid w:val="241261AF"/>
    <w:rsid w:val="245623CD"/>
    <w:rsid w:val="24742B7A"/>
    <w:rsid w:val="24801BFE"/>
    <w:rsid w:val="24A02963"/>
    <w:rsid w:val="25093A94"/>
    <w:rsid w:val="251946ED"/>
    <w:rsid w:val="253C124C"/>
    <w:rsid w:val="25C934E6"/>
    <w:rsid w:val="25D36F91"/>
    <w:rsid w:val="25E31AE2"/>
    <w:rsid w:val="25F71FAA"/>
    <w:rsid w:val="265F25D3"/>
    <w:rsid w:val="2666407E"/>
    <w:rsid w:val="26686A49"/>
    <w:rsid w:val="26B064F0"/>
    <w:rsid w:val="26B75C05"/>
    <w:rsid w:val="26BC3E98"/>
    <w:rsid w:val="26C16537"/>
    <w:rsid w:val="26D72A2F"/>
    <w:rsid w:val="270E45F4"/>
    <w:rsid w:val="272E0923"/>
    <w:rsid w:val="27D74077"/>
    <w:rsid w:val="27DC212D"/>
    <w:rsid w:val="28087421"/>
    <w:rsid w:val="283B4A04"/>
    <w:rsid w:val="286F7DED"/>
    <w:rsid w:val="28714C46"/>
    <w:rsid w:val="28760471"/>
    <w:rsid w:val="289015D5"/>
    <w:rsid w:val="28BA505F"/>
    <w:rsid w:val="28E52513"/>
    <w:rsid w:val="29247E5F"/>
    <w:rsid w:val="29323FCF"/>
    <w:rsid w:val="29345F99"/>
    <w:rsid w:val="29350194"/>
    <w:rsid w:val="29802B75"/>
    <w:rsid w:val="29C235A5"/>
    <w:rsid w:val="29CE5AA6"/>
    <w:rsid w:val="29DB30C0"/>
    <w:rsid w:val="29F36796"/>
    <w:rsid w:val="29FA07F7"/>
    <w:rsid w:val="29FB7994"/>
    <w:rsid w:val="2A44085B"/>
    <w:rsid w:val="2A5111EE"/>
    <w:rsid w:val="2A5959CC"/>
    <w:rsid w:val="2A5A0630"/>
    <w:rsid w:val="2A7D1056"/>
    <w:rsid w:val="2A9E191C"/>
    <w:rsid w:val="2AB93AB4"/>
    <w:rsid w:val="2AE85877"/>
    <w:rsid w:val="2BE544B6"/>
    <w:rsid w:val="2C27138D"/>
    <w:rsid w:val="2C881903"/>
    <w:rsid w:val="2C9121E4"/>
    <w:rsid w:val="2CD32428"/>
    <w:rsid w:val="2CD6705A"/>
    <w:rsid w:val="2CDD6BB0"/>
    <w:rsid w:val="2CDF639B"/>
    <w:rsid w:val="2D0C768D"/>
    <w:rsid w:val="2D454DE1"/>
    <w:rsid w:val="2D7C3B84"/>
    <w:rsid w:val="2D9A1D13"/>
    <w:rsid w:val="2DBB5117"/>
    <w:rsid w:val="2E167CD9"/>
    <w:rsid w:val="2E3F4BE1"/>
    <w:rsid w:val="2E427DDB"/>
    <w:rsid w:val="2E910F3C"/>
    <w:rsid w:val="2E9C0E80"/>
    <w:rsid w:val="2EE23C87"/>
    <w:rsid w:val="2EF71830"/>
    <w:rsid w:val="2F0941EA"/>
    <w:rsid w:val="2F321BEF"/>
    <w:rsid w:val="2F4B40FA"/>
    <w:rsid w:val="2F6F3887"/>
    <w:rsid w:val="2F856E1D"/>
    <w:rsid w:val="2F8B6412"/>
    <w:rsid w:val="3014584B"/>
    <w:rsid w:val="301D7787"/>
    <w:rsid w:val="301F34FF"/>
    <w:rsid w:val="30295295"/>
    <w:rsid w:val="30562675"/>
    <w:rsid w:val="307F5D4C"/>
    <w:rsid w:val="30B97801"/>
    <w:rsid w:val="31254859"/>
    <w:rsid w:val="31371CFC"/>
    <w:rsid w:val="31654E44"/>
    <w:rsid w:val="31837116"/>
    <w:rsid w:val="3219388C"/>
    <w:rsid w:val="32CD2E2D"/>
    <w:rsid w:val="32FB69F1"/>
    <w:rsid w:val="330459D2"/>
    <w:rsid w:val="3360270D"/>
    <w:rsid w:val="33603E7D"/>
    <w:rsid w:val="33E01649"/>
    <w:rsid w:val="3421523E"/>
    <w:rsid w:val="34300B2E"/>
    <w:rsid w:val="34816DF2"/>
    <w:rsid w:val="348778C5"/>
    <w:rsid w:val="35006559"/>
    <w:rsid w:val="350C5683"/>
    <w:rsid w:val="35374E47"/>
    <w:rsid w:val="356B12DB"/>
    <w:rsid w:val="35B0525A"/>
    <w:rsid w:val="35D15F85"/>
    <w:rsid w:val="36251008"/>
    <w:rsid w:val="36612E91"/>
    <w:rsid w:val="36733C31"/>
    <w:rsid w:val="36F31241"/>
    <w:rsid w:val="36F56D67"/>
    <w:rsid w:val="37075BF2"/>
    <w:rsid w:val="371346A3"/>
    <w:rsid w:val="37667AFE"/>
    <w:rsid w:val="377B15DA"/>
    <w:rsid w:val="37AA27F2"/>
    <w:rsid w:val="37CB7AC8"/>
    <w:rsid w:val="38137719"/>
    <w:rsid w:val="381834DD"/>
    <w:rsid w:val="388736CF"/>
    <w:rsid w:val="3890295A"/>
    <w:rsid w:val="38911759"/>
    <w:rsid w:val="39902D77"/>
    <w:rsid w:val="39EB0B23"/>
    <w:rsid w:val="39F92E39"/>
    <w:rsid w:val="3A103EB8"/>
    <w:rsid w:val="3A293329"/>
    <w:rsid w:val="3A4A73CA"/>
    <w:rsid w:val="3A6701BF"/>
    <w:rsid w:val="3AA42F37"/>
    <w:rsid w:val="3AD81C19"/>
    <w:rsid w:val="3B6902C1"/>
    <w:rsid w:val="3B742A51"/>
    <w:rsid w:val="3B9C13B5"/>
    <w:rsid w:val="3BC9345D"/>
    <w:rsid w:val="3BF33A92"/>
    <w:rsid w:val="3C133CBF"/>
    <w:rsid w:val="3C2D394E"/>
    <w:rsid w:val="3C2E6878"/>
    <w:rsid w:val="3C4A31C6"/>
    <w:rsid w:val="3C631148"/>
    <w:rsid w:val="3CC55EB6"/>
    <w:rsid w:val="3CC83294"/>
    <w:rsid w:val="3CF200E9"/>
    <w:rsid w:val="3E040061"/>
    <w:rsid w:val="3E09134A"/>
    <w:rsid w:val="3E4A130C"/>
    <w:rsid w:val="3E5D0E9D"/>
    <w:rsid w:val="3E614CE2"/>
    <w:rsid w:val="3E69521E"/>
    <w:rsid w:val="3E895FE7"/>
    <w:rsid w:val="3EDC5E23"/>
    <w:rsid w:val="3EE804A2"/>
    <w:rsid w:val="3EF01524"/>
    <w:rsid w:val="3F1E7B81"/>
    <w:rsid w:val="3F8161A9"/>
    <w:rsid w:val="3F8D4C2F"/>
    <w:rsid w:val="3FAF241F"/>
    <w:rsid w:val="3FDA2E82"/>
    <w:rsid w:val="405158F6"/>
    <w:rsid w:val="4058034B"/>
    <w:rsid w:val="40754A75"/>
    <w:rsid w:val="40D43AE5"/>
    <w:rsid w:val="411A2934"/>
    <w:rsid w:val="411B5612"/>
    <w:rsid w:val="41590908"/>
    <w:rsid w:val="41A31FFE"/>
    <w:rsid w:val="41E01171"/>
    <w:rsid w:val="41E50E16"/>
    <w:rsid w:val="42997141"/>
    <w:rsid w:val="42FB73AC"/>
    <w:rsid w:val="43020921"/>
    <w:rsid w:val="431A5DC1"/>
    <w:rsid w:val="43456060"/>
    <w:rsid w:val="437E0192"/>
    <w:rsid w:val="43C602ED"/>
    <w:rsid w:val="43FB2B0D"/>
    <w:rsid w:val="44024872"/>
    <w:rsid w:val="440525B4"/>
    <w:rsid w:val="442A3118"/>
    <w:rsid w:val="451142BD"/>
    <w:rsid w:val="45360433"/>
    <w:rsid w:val="4564504F"/>
    <w:rsid w:val="45B107A8"/>
    <w:rsid w:val="45EF52CA"/>
    <w:rsid w:val="463827CD"/>
    <w:rsid w:val="4662784A"/>
    <w:rsid w:val="466E26B2"/>
    <w:rsid w:val="46EF1214"/>
    <w:rsid w:val="475A68EA"/>
    <w:rsid w:val="4760647F"/>
    <w:rsid w:val="478B6E25"/>
    <w:rsid w:val="47C41B9F"/>
    <w:rsid w:val="47C744A7"/>
    <w:rsid w:val="47CC040D"/>
    <w:rsid w:val="48090F70"/>
    <w:rsid w:val="48696C85"/>
    <w:rsid w:val="487857B8"/>
    <w:rsid w:val="488A268F"/>
    <w:rsid w:val="48C20A74"/>
    <w:rsid w:val="48D8460A"/>
    <w:rsid w:val="48E94252"/>
    <w:rsid w:val="49320D19"/>
    <w:rsid w:val="49441B04"/>
    <w:rsid w:val="49707FAA"/>
    <w:rsid w:val="4993630D"/>
    <w:rsid w:val="49E01BBF"/>
    <w:rsid w:val="4A0D1CED"/>
    <w:rsid w:val="4A5021D7"/>
    <w:rsid w:val="4A6B20CD"/>
    <w:rsid w:val="4A7638C4"/>
    <w:rsid w:val="4AE9574E"/>
    <w:rsid w:val="4B517AB0"/>
    <w:rsid w:val="4B663938"/>
    <w:rsid w:val="4B8352E9"/>
    <w:rsid w:val="4BB52448"/>
    <w:rsid w:val="4BE5236A"/>
    <w:rsid w:val="4C574C58"/>
    <w:rsid w:val="4D0B3ABC"/>
    <w:rsid w:val="4D8555A7"/>
    <w:rsid w:val="4DA9473A"/>
    <w:rsid w:val="4DB343F0"/>
    <w:rsid w:val="4DE76E69"/>
    <w:rsid w:val="4DEC5367"/>
    <w:rsid w:val="4E046685"/>
    <w:rsid w:val="4E1B7E1A"/>
    <w:rsid w:val="4E235B10"/>
    <w:rsid w:val="4E255C4E"/>
    <w:rsid w:val="4E510303"/>
    <w:rsid w:val="4E7A5C74"/>
    <w:rsid w:val="4E960E86"/>
    <w:rsid w:val="4E9843E7"/>
    <w:rsid w:val="4EAF1994"/>
    <w:rsid w:val="4ED2790F"/>
    <w:rsid w:val="4EE26781"/>
    <w:rsid w:val="4F0B3174"/>
    <w:rsid w:val="4FCF3CB3"/>
    <w:rsid w:val="4FF051C8"/>
    <w:rsid w:val="4FF3177F"/>
    <w:rsid w:val="4FFA01B4"/>
    <w:rsid w:val="50154213"/>
    <w:rsid w:val="505E5526"/>
    <w:rsid w:val="50715E7F"/>
    <w:rsid w:val="508B5BEF"/>
    <w:rsid w:val="50B97A76"/>
    <w:rsid w:val="50DF4F44"/>
    <w:rsid w:val="52117D46"/>
    <w:rsid w:val="521F0CE5"/>
    <w:rsid w:val="52340DCC"/>
    <w:rsid w:val="52535C29"/>
    <w:rsid w:val="52595FA5"/>
    <w:rsid w:val="526060BC"/>
    <w:rsid w:val="52A23ADD"/>
    <w:rsid w:val="52BD2046"/>
    <w:rsid w:val="531D2D55"/>
    <w:rsid w:val="537D5CC3"/>
    <w:rsid w:val="538A2C61"/>
    <w:rsid w:val="53B260C7"/>
    <w:rsid w:val="545505C1"/>
    <w:rsid w:val="54BE7508"/>
    <w:rsid w:val="54E20E0D"/>
    <w:rsid w:val="54ED642B"/>
    <w:rsid w:val="55096012"/>
    <w:rsid w:val="550C4597"/>
    <w:rsid w:val="558A4289"/>
    <w:rsid w:val="55C10BDC"/>
    <w:rsid w:val="560721BC"/>
    <w:rsid w:val="561B69D0"/>
    <w:rsid w:val="562D5D41"/>
    <w:rsid w:val="56861332"/>
    <w:rsid w:val="56C61D18"/>
    <w:rsid w:val="5703627B"/>
    <w:rsid w:val="57060644"/>
    <w:rsid w:val="57082809"/>
    <w:rsid w:val="57136AC3"/>
    <w:rsid w:val="571D2264"/>
    <w:rsid w:val="575A6753"/>
    <w:rsid w:val="5778511F"/>
    <w:rsid w:val="579B03F6"/>
    <w:rsid w:val="57B44CCE"/>
    <w:rsid w:val="57EE0EDB"/>
    <w:rsid w:val="582520B0"/>
    <w:rsid w:val="582C33F7"/>
    <w:rsid w:val="58BB746F"/>
    <w:rsid w:val="591340C8"/>
    <w:rsid w:val="591E3AA4"/>
    <w:rsid w:val="5921287B"/>
    <w:rsid w:val="59B552C2"/>
    <w:rsid w:val="59D40701"/>
    <w:rsid w:val="59D86CF6"/>
    <w:rsid w:val="5A1D4A6A"/>
    <w:rsid w:val="5A47702B"/>
    <w:rsid w:val="5A62797A"/>
    <w:rsid w:val="5A7159E2"/>
    <w:rsid w:val="5A7C4965"/>
    <w:rsid w:val="5AEF18A0"/>
    <w:rsid w:val="5B08365F"/>
    <w:rsid w:val="5B4D68C3"/>
    <w:rsid w:val="5B4E1879"/>
    <w:rsid w:val="5B5037ED"/>
    <w:rsid w:val="5B636FE2"/>
    <w:rsid w:val="5B69202E"/>
    <w:rsid w:val="5B965789"/>
    <w:rsid w:val="5B990C64"/>
    <w:rsid w:val="5BB5159C"/>
    <w:rsid w:val="5BB94191"/>
    <w:rsid w:val="5BE20108"/>
    <w:rsid w:val="5C264953"/>
    <w:rsid w:val="5C9F4EFC"/>
    <w:rsid w:val="5D817997"/>
    <w:rsid w:val="5D884413"/>
    <w:rsid w:val="5D9F784B"/>
    <w:rsid w:val="5DA65EFA"/>
    <w:rsid w:val="5E006BE0"/>
    <w:rsid w:val="5E0A2849"/>
    <w:rsid w:val="5E4A06C1"/>
    <w:rsid w:val="5F902D45"/>
    <w:rsid w:val="5F9434FB"/>
    <w:rsid w:val="5FA4709A"/>
    <w:rsid w:val="600A0228"/>
    <w:rsid w:val="600F2399"/>
    <w:rsid w:val="602D7FAF"/>
    <w:rsid w:val="603A4DEC"/>
    <w:rsid w:val="60B116A2"/>
    <w:rsid w:val="60CA62C0"/>
    <w:rsid w:val="6108648F"/>
    <w:rsid w:val="61742A83"/>
    <w:rsid w:val="61921260"/>
    <w:rsid w:val="61BE04CD"/>
    <w:rsid w:val="61E62C53"/>
    <w:rsid w:val="621405B5"/>
    <w:rsid w:val="621F15B7"/>
    <w:rsid w:val="62636899"/>
    <w:rsid w:val="62B57844"/>
    <w:rsid w:val="62CA4357"/>
    <w:rsid w:val="634738A3"/>
    <w:rsid w:val="635B1A77"/>
    <w:rsid w:val="637238CE"/>
    <w:rsid w:val="63770701"/>
    <w:rsid w:val="6404606B"/>
    <w:rsid w:val="64062CF4"/>
    <w:rsid w:val="645A53F5"/>
    <w:rsid w:val="645C4ABD"/>
    <w:rsid w:val="647351A7"/>
    <w:rsid w:val="648A0416"/>
    <w:rsid w:val="648D3B2B"/>
    <w:rsid w:val="64B55C57"/>
    <w:rsid w:val="64DD2A98"/>
    <w:rsid w:val="64DF4A2F"/>
    <w:rsid w:val="65384053"/>
    <w:rsid w:val="659359D8"/>
    <w:rsid w:val="65AF2289"/>
    <w:rsid w:val="665E7BD6"/>
    <w:rsid w:val="66A8650D"/>
    <w:rsid w:val="66F1114B"/>
    <w:rsid w:val="674F3B08"/>
    <w:rsid w:val="675A6D1E"/>
    <w:rsid w:val="676E14FA"/>
    <w:rsid w:val="677FEC67"/>
    <w:rsid w:val="67BD678E"/>
    <w:rsid w:val="67CA2856"/>
    <w:rsid w:val="67EB36EB"/>
    <w:rsid w:val="67F51E74"/>
    <w:rsid w:val="67F65E6A"/>
    <w:rsid w:val="68367FC0"/>
    <w:rsid w:val="68486692"/>
    <w:rsid w:val="686131C1"/>
    <w:rsid w:val="686357AC"/>
    <w:rsid w:val="68716F5A"/>
    <w:rsid w:val="68951101"/>
    <w:rsid w:val="68975823"/>
    <w:rsid w:val="690766ED"/>
    <w:rsid w:val="690C118F"/>
    <w:rsid w:val="691E510D"/>
    <w:rsid w:val="69346858"/>
    <w:rsid w:val="69453A3F"/>
    <w:rsid w:val="695E24E3"/>
    <w:rsid w:val="69870E56"/>
    <w:rsid w:val="699E0646"/>
    <w:rsid w:val="69CB64E1"/>
    <w:rsid w:val="69CB7FE7"/>
    <w:rsid w:val="6A0171F6"/>
    <w:rsid w:val="6A0E546F"/>
    <w:rsid w:val="6A7E6E50"/>
    <w:rsid w:val="6AA21FA2"/>
    <w:rsid w:val="6AAD1D39"/>
    <w:rsid w:val="6AB23F83"/>
    <w:rsid w:val="6ADE7537"/>
    <w:rsid w:val="6B0F149F"/>
    <w:rsid w:val="6B427368"/>
    <w:rsid w:val="6B482C03"/>
    <w:rsid w:val="6B5F6A56"/>
    <w:rsid w:val="6BA36812"/>
    <w:rsid w:val="6BA560AE"/>
    <w:rsid w:val="6BE65741"/>
    <w:rsid w:val="6BF05473"/>
    <w:rsid w:val="6C054A1A"/>
    <w:rsid w:val="6C0B435C"/>
    <w:rsid w:val="6C93778C"/>
    <w:rsid w:val="6CAE388C"/>
    <w:rsid w:val="6CB906FE"/>
    <w:rsid w:val="6CC2656C"/>
    <w:rsid w:val="6CCE7D0C"/>
    <w:rsid w:val="6CD7423E"/>
    <w:rsid w:val="6D34343E"/>
    <w:rsid w:val="6D721389"/>
    <w:rsid w:val="6E5E0865"/>
    <w:rsid w:val="6EB37F56"/>
    <w:rsid w:val="6EC92BBA"/>
    <w:rsid w:val="6F27513C"/>
    <w:rsid w:val="6F565DE7"/>
    <w:rsid w:val="6F7C2E7B"/>
    <w:rsid w:val="6F9D1986"/>
    <w:rsid w:val="704D1D0C"/>
    <w:rsid w:val="705C1B51"/>
    <w:rsid w:val="705F549E"/>
    <w:rsid w:val="70D922E9"/>
    <w:rsid w:val="70E141DF"/>
    <w:rsid w:val="70F2429C"/>
    <w:rsid w:val="71640501"/>
    <w:rsid w:val="71821AC8"/>
    <w:rsid w:val="718A5C1F"/>
    <w:rsid w:val="71C75C56"/>
    <w:rsid w:val="71E57E70"/>
    <w:rsid w:val="72125FA4"/>
    <w:rsid w:val="7241190A"/>
    <w:rsid w:val="729270A5"/>
    <w:rsid w:val="729530C1"/>
    <w:rsid w:val="72B8436A"/>
    <w:rsid w:val="73743A97"/>
    <w:rsid w:val="73991C5D"/>
    <w:rsid w:val="73D05340"/>
    <w:rsid w:val="73D21B99"/>
    <w:rsid w:val="74AA4592"/>
    <w:rsid w:val="74BB6CD8"/>
    <w:rsid w:val="74EF5316"/>
    <w:rsid w:val="74F00742"/>
    <w:rsid w:val="751D6EAE"/>
    <w:rsid w:val="75292987"/>
    <w:rsid w:val="75940915"/>
    <w:rsid w:val="75977E73"/>
    <w:rsid w:val="75AC3927"/>
    <w:rsid w:val="75BA6211"/>
    <w:rsid w:val="75FA47FF"/>
    <w:rsid w:val="766108D3"/>
    <w:rsid w:val="766130DC"/>
    <w:rsid w:val="767501D9"/>
    <w:rsid w:val="768671AB"/>
    <w:rsid w:val="768B7C5A"/>
    <w:rsid w:val="76E83F7B"/>
    <w:rsid w:val="76EF6628"/>
    <w:rsid w:val="76F95370"/>
    <w:rsid w:val="770E0A35"/>
    <w:rsid w:val="7725204A"/>
    <w:rsid w:val="7735396A"/>
    <w:rsid w:val="775604E7"/>
    <w:rsid w:val="775C351B"/>
    <w:rsid w:val="778871C7"/>
    <w:rsid w:val="778F0C4D"/>
    <w:rsid w:val="77EA0D62"/>
    <w:rsid w:val="77EF32F3"/>
    <w:rsid w:val="78007167"/>
    <w:rsid w:val="782B6462"/>
    <w:rsid w:val="78401B11"/>
    <w:rsid w:val="787200A3"/>
    <w:rsid w:val="78C94D2C"/>
    <w:rsid w:val="791732EB"/>
    <w:rsid w:val="794762A8"/>
    <w:rsid w:val="796A6FB8"/>
    <w:rsid w:val="796C4359"/>
    <w:rsid w:val="7970626C"/>
    <w:rsid w:val="798968C0"/>
    <w:rsid w:val="79A2131D"/>
    <w:rsid w:val="79A45F1B"/>
    <w:rsid w:val="79B42F8A"/>
    <w:rsid w:val="79C2046B"/>
    <w:rsid w:val="79C26CB3"/>
    <w:rsid w:val="79E945EA"/>
    <w:rsid w:val="79FF2CA1"/>
    <w:rsid w:val="7A540630"/>
    <w:rsid w:val="7A644B7F"/>
    <w:rsid w:val="7A7A741B"/>
    <w:rsid w:val="7B1D2458"/>
    <w:rsid w:val="7B297722"/>
    <w:rsid w:val="7B4674F9"/>
    <w:rsid w:val="7BB871CD"/>
    <w:rsid w:val="7BC050F4"/>
    <w:rsid w:val="7C1F2B3B"/>
    <w:rsid w:val="7C2C3010"/>
    <w:rsid w:val="7C3760E1"/>
    <w:rsid w:val="7C415FD0"/>
    <w:rsid w:val="7C896A93"/>
    <w:rsid w:val="7CC243DD"/>
    <w:rsid w:val="7CC82377"/>
    <w:rsid w:val="7CC82E59"/>
    <w:rsid w:val="7D12222D"/>
    <w:rsid w:val="7D583E4C"/>
    <w:rsid w:val="7DB939AF"/>
    <w:rsid w:val="7DDA3B8E"/>
    <w:rsid w:val="7DF573AA"/>
    <w:rsid w:val="7E0026F3"/>
    <w:rsid w:val="7E203BD0"/>
    <w:rsid w:val="7E280727"/>
    <w:rsid w:val="7E4565E5"/>
    <w:rsid w:val="7E4E5E2B"/>
    <w:rsid w:val="7E7E023B"/>
    <w:rsid w:val="7E9E24D9"/>
    <w:rsid w:val="7EFB96C9"/>
    <w:rsid w:val="7F510A6F"/>
    <w:rsid w:val="7F744857"/>
    <w:rsid w:val="7FA31B94"/>
    <w:rsid w:val="7FB0728E"/>
    <w:rsid w:val="7FCA075C"/>
    <w:rsid w:val="7FF945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qFormat="1" w:unhideWhenUsed="0" w:uiPriority="0" w:semiHidden="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qFormat="1" w:unhideWhenUsed="0" w:uiPriority="0" w:semiHidden="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62"/>
    <w:qFormat/>
    <w:uiPriority w:val="0"/>
    <w:pPr>
      <w:keepNext/>
      <w:keepLines/>
      <w:pageBreakBefore/>
      <w:spacing w:line="360" w:lineRule="auto"/>
      <w:jc w:val="center"/>
      <w:outlineLvl w:val="0"/>
    </w:pPr>
    <w:rPr>
      <w:rFonts w:ascii="Times New Roman" w:hAnsi="Times New Roman" w:eastAsia="宋体"/>
      <w:b/>
      <w:bCs/>
      <w:sz w:val="30"/>
    </w:rPr>
  </w:style>
  <w:style w:type="paragraph" w:styleId="4">
    <w:name w:val="heading 2"/>
    <w:basedOn w:val="1"/>
    <w:next w:val="1"/>
    <w:link w:val="63"/>
    <w:qFormat/>
    <w:uiPriority w:val="0"/>
    <w:pPr>
      <w:keepNext/>
      <w:adjustRightInd w:val="0"/>
      <w:spacing w:line="360" w:lineRule="auto"/>
      <w:jc w:val="center"/>
      <w:outlineLvl w:val="1"/>
    </w:pPr>
    <w:rPr>
      <w:rFonts w:ascii="宋体" w:hAnsi="宋体" w:eastAsia="宋体"/>
      <w:b/>
      <w:bCs/>
      <w:sz w:val="28"/>
      <w:szCs w:val="36"/>
    </w:rPr>
  </w:style>
  <w:style w:type="paragraph" w:styleId="5">
    <w:name w:val="heading 3"/>
    <w:basedOn w:val="1"/>
    <w:next w:val="1"/>
    <w:link w:val="287"/>
    <w:unhideWhenUsed/>
    <w:qFormat/>
    <w:uiPriority w:val="0"/>
    <w:pPr>
      <w:keepNext/>
      <w:keepLines/>
      <w:numPr>
        <w:ilvl w:val="0"/>
        <w:numId w:val="1"/>
      </w:numPr>
      <w:spacing w:line="360" w:lineRule="auto"/>
      <w:ind w:firstLine="400" w:firstLineChars="200"/>
      <w:outlineLvl w:val="2"/>
    </w:pPr>
    <w:rPr>
      <w:rFonts w:ascii="Times New Roman" w:hAnsi="Times New Roman" w:eastAsia="宋体"/>
      <w:b/>
      <w:bCs/>
      <w:szCs w:val="32"/>
    </w:rPr>
  </w:style>
  <w:style w:type="paragraph" w:styleId="6">
    <w:name w:val="heading 4"/>
    <w:basedOn w:val="1"/>
    <w:next w:val="1"/>
    <w:link w:val="65"/>
    <w:qFormat/>
    <w:uiPriority w:val="0"/>
    <w:pPr>
      <w:keepNext/>
      <w:numPr>
        <w:ilvl w:val="0"/>
        <w:numId w:val="2"/>
      </w:numPr>
      <w:autoSpaceDE w:val="0"/>
      <w:autoSpaceDN w:val="0"/>
      <w:adjustRightInd w:val="0"/>
      <w:ind w:left="0" w:firstLine="640" w:firstLineChars="200"/>
      <w:jc w:val="left"/>
      <w:outlineLvl w:val="3"/>
    </w:pPr>
    <w:rPr>
      <w:rFonts w:ascii="宋体" w:hAnsi="宋体" w:eastAsia="宋体"/>
      <w:b/>
      <w:color w:val="000000"/>
      <w:kern w:val="0"/>
    </w:rPr>
  </w:style>
  <w:style w:type="paragraph" w:styleId="7">
    <w:name w:val="heading 5"/>
    <w:basedOn w:val="1"/>
    <w:next w:val="1"/>
    <w:link w:val="290"/>
    <w:qFormat/>
    <w:uiPriority w:val="0"/>
    <w:pPr>
      <w:keepNext/>
      <w:ind w:firstLine="400" w:firstLineChars="200"/>
      <w:outlineLvl w:val="4"/>
    </w:pPr>
    <w:rPr>
      <w:rFonts w:ascii="宋体" w:hAnsi="宋体" w:eastAsia="宋体"/>
      <w:b/>
    </w:rPr>
  </w:style>
  <w:style w:type="paragraph" w:styleId="8">
    <w:name w:val="heading 6"/>
    <w:basedOn w:val="1"/>
    <w:next w:val="1"/>
    <w:link w:val="67"/>
    <w:qFormat/>
    <w:uiPriority w:val="0"/>
    <w:pPr>
      <w:keepNext/>
      <w:tabs>
        <w:tab w:val="left" w:pos="0"/>
        <w:tab w:val="left" w:pos="851"/>
      </w:tabs>
      <w:adjustRightInd w:val="0"/>
      <w:snapToGrid w:val="0"/>
      <w:spacing w:before="62" w:line="360" w:lineRule="auto"/>
      <w:outlineLvl w:val="5"/>
    </w:pPr>
    <w:rPr>
      <w:rFonts w:ascii="宋体" w:hAnsi="宋体" w:eastAsia="宋体"/>
      <w:b/>
      <w:sz w:val="24"/>
    </w:rPr>
  </w:style>
  <w:style w:type="paragraph" w:styleId="9">
    <w:name w:val="heading 7"/>
    <w:basedOn w:val="1"/>
    <w:next w:val="10"/>
    <w:link w:val="68"/>
    <w:qFormat/>
    <w:uiPriority w:val="0"/>
    <w:pPr>
      <w:keepNext/>
      <w:keepLines/>
      <w:tabs>
        <w:tab w:val="left" w:pos="1800"/>
      </w:tabs>
      <w:spacing w:line="360" w:lineRule="auto"/>
      <w:outlineLvl w:val="6"/>
    </w:pPr>
    <w:rPr>
      <w:rFonts w:ascii="Times New Roman" w:hAnsi="Times New Roman" w:eastAsia="宋体"/>
      <w:b/>
    </w:rPr>
  </w:style>
  <w:style w:type="paragraph" w:styleId="11">
    <w:name w:val="heading 8"/>
    <w:basedOn w:val="1"/>
    <w:next w:val="10"/>
    <w:link w:val="69"/>
    <w:qFormat/>
    <w:uiPriority w:val="0"/>
    <w:pPr>
      <w:keepNext/>
      <w:tabs>
        <w:tab w:val="left" w:pos="720"/>
        <w:tab w:val="left" w:pos="855"/>
      </w:tabs>
      <w:ind w:left="720" w:firstLine="225"/>
      <w:outlineLvl w:val="7"/>
    </w:pPr>
    <w:rPr>
      <w:rFonts w:ascii="宋体"/>
      <w:sz w:val="28"/>
      <w:szCs w:val="20"/>
    </w:rPr>
  </w:style>
  <w:style w:type="paragraph" w:styleId="12">
    <w:name w:val="heading 9"/>
    <w:basedOn w:val="1"/>
    <w:next w:val="10"/>
    <w:link w:val="70"/>
    <w:qFormat/>
    <w:uiPriority w:val="0"/>
    <w:pPr>
      <w:keepNext/>
      <w:tabs>
        <w:tab w:val="left" w:pos="1425"/>
        <w:tab w:val="left" w:pos="1660"/>
      </w:tabs>
      <w:ind w:left="1660" w:hanging="360"/>
      <w:outlineLvl w:val="8"/>
    </w:pPr>
    <w:rPr>
      <w:rFonts w:ascii="宋体"/>
      <w:b/>
      <w:sz w:val="28"/>
      <w:szCs w:val="20"/>
    </w:rPr>
  </w:style>
  <w:style w:type="character" w:default="1" w:styleId="56">
    <w:name w:val="Default Paragraph Font"/>
    <w:semiHidden/>
    <w:unhideWhenUsed/>
    <w:qFormat/>
    <w:uiPriority w:val="1"/>
  </w:style>
  <w:style w:type="table" w:default="1" w:styleId="54">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List Paragraph"/>
    <w:basedOn w:val="1"/>
    <w:autoRedefine/>
    <w:unhideWhenUsed/>
    <w:qFormat/>
    <w:uiPriority w:val="99"/>
    <w:pPr>
      <w:ind w:firstLine="420" w:firstLineChars="200"/>
    </w:pPr>
  </w:style>
  <w:style w:type="paragraph" w:customStyle="1" w:styleId="10">
    <w:name w:val="正文缩进1"/>
    <w:basedOn w:val="1"/>
    <w:qFormat/>
    <w:uiPriority w:val="0"/>
    <w:pPr>
      <w:ind w:firstLine="420" w:firstLineChars="200"/>
    </w:pPr>
    <w:rPr>
      <w:rFonts w:ascii="Calibri" w:hAnsi="Calibri" w:cs="黑体"/>
      <w:szCs w:val="22"/>
    </w:rPr>
  </w:style>
  <w:style w:type="paragraph" w:styleId="13">
    <w:name w:val="toc 7"/>
    <w:basedOn w:val="1"/>
    <w:next w:val="1"/>
    <w:autoRedefine/>
    <w:qFormat/>
    <w:uiPriority w:val="39"/>
    <w:pPr>
      <w:adjustRightInd w:val="0"/>
      <w:spacing w:line="560" w:lineRule="exact"/>
      <w:ind w:left="2520" w:leftChars="1200" w:firstLine="480"/>
    </w:pPr>
    <w:rPr>
      <w:rFonts w:ascii="宋体"/>
      <w:color w:val="FF0000"/>
      <w:spacing w:val="-6"/>
      <w:sz w:val="28"/>
    </w:rPr>
  </w:style>
  <w:style w:type="paragraph" w:styleId="14">
    <w:name w:val="index 8"/>
    <w:basedOn w:val="1"/>
    <w:next w:val="1"/>
    <w:autoRedefine/>
    <w:qFormat/>
    <w:uiPriority w:val="0"/>
    <w:pPr>
      <w:ind w:left="1400" w:leftChars="1400"/>
    </w:pPr>
  </w:style>
  <w:style w:type="paragraph" w:styleId="15">
    <w:name w:val="Normal Indent"/>
    <w:basedOn w:val="1"/>
    <w:link w:val="73"/>
    <w:autoRedefine/>
    <w:qFormat/>
    <w:uiPriority w:val="0"/>
    <w:pPr>
      <w:adjustRightInd w:val="0"/>
      <w:snapToGrid w:val="0"/>
      <w:spacing w:line="500" w:lineRule="atLeast"/>
      <w:ind w:firstLine="480" w:firstLineChars="200"/>
    </w:pPr>
    <w:rPr>
      <w:kern w:val="0"/>
      <w:szCs w:val="20"/>
    </w:rPr>
  </w:style>
  <w:style w:type="paragraph" w:styleId="16">
    <w:name w:val="caption"/>
    <w:basedOn w:val="1"/>
    <w:next w:val="1"/>
    <w:autoRedefine/>
    <w:qFormat/>
    <w:uiPriority w:val="0"/>
    <w:pPr>
      <w:spacing w:before="152" w:after="160"/>
    </w:pPr>
    <w:rPr>
      <w:rFonts w:ascii="Arial" w:hAnsi="Arial" w:eastAsia="黑体" w:cs="Arial"/>
      <w:sz w:val="20"/>
      <w:szCs w:val="20"/>
    </w:rPr>
  </w:style>
  <w:style w:type="paragraph" w:styleId="17">
    <w:name w:val="index 5"/>
    <w:basedOn w:val="1"/>
    <w:next w:val="1"/>
    <w:autoRedefine/>
    <w:qFormat/>
    <w:uiPriority w:val="0"/>
    <w:pPr>
      <w:ind w:left="800" w:leftChars="800"/>
    </w:pPr>
  </w:style>
  <w:style w:type="paragraph" w:styleId="18">
    <w:name w:val="Document Map"/>
    <w:basedOn w:val="1"/>
    <w:autoRedefine/>
    <w:semiHidden/>
    <w:qFormat/>
    <w:uiPriority w:val="0"/>
    <w:pPr>
      <w:shd w:val="clear" w:color="auto" w:fill="000080"/>
    </w:pPr>
  </w:style>
  <w:style w:type="paragraph" w:styleId="19">
    <w:name w:val="annotation text"/>
    <w:basedOn w:val="1"/>
    <w:link w:val="90"/>
    <w:autoRedefine/>
    <w:qFormat/>
    <w:uiPriority w:val="0"/>
    <w:pPr>
      <w:jc w:val="left"/>
    </w:pPr>
    <w:rPr>
      <w:kern w:val="0"/>
      <w:sz w:val="20"/>
    </w:rPr>
  </w:style>
  <w:style w:type="paragraph" w:styleId="20">
    <w:name w:val="index 6"/>
    <w:basedOn w:val="1"/>
    <w:next w:val="1"/>
    <w:autoRedefine/>
    <w:qFormat/>
    <w:uiPriority w:val="0"/>
    <w:pPr>
      <w:ind w:left="1000" w:leftChars="1000"/>
    </w:pPr>
  </w:style>
  <w:style w:type="paragraph" w:styleId="21">
    <w:name w:val="Body Text 3"/>
    <w:basedOn w:val="1"/>
    <w:autoRedefine/>
    <w:qFormat/>
    <w:uiPriority w:val="0"/>
    <w:pPr>
      <w:jc w:val="center"/>
    </w:pPr>
    <w:rPr>
      <w:rFonts w:eastAsia="隶书"/>
      <w:szCs w:val="20"/>
    </w:rPr>
  </w:style>
  <w:style w:type="paragraph" w:styleId="22">
    <w:name w:val="Body Text"/>
    <w:basedOn w:val="1"/>
    <w:next w:val="1"/>
    <w:link w:val="289"/>
    <w:qFormat/>
    <w:uiPriority w:val="0"/>
    <w:pPr>
      <w:spacing w:line="288" w:lineRule="auto"/>
    </w:pPr>
    <w:rPr>
      <w:rFonts w:ascii="仿宋_GB2312" w:hAnsi="仿宋_GB2312" w:eastAsia="宋体"/>
    </w:rPr>
  </w:style>
  <w:style w:type="paragraph" w:styleId="23">
    <w:name w:val="Body Text Indent"/>
    <w:basedOn w:val="1"/>
    <w:link w:val="71"/>
    <w:autoRedefine/>
    <w:qFormat/>
    <w:uiPriority w:val="0"/>
    <w:pPr>
      <w:adjustRightInd w:val="0"/>
      <w:snapToGrid w:val="0"/>
      <w:ind w:left="-62" w:leftChars="-62" w:right="113" w:firstLine="200" w:firstLineChars="200"/>
    </w:pPr>
    <w:rPr>
      <w:rFonts w:ascii="宋体" w:hAnsi="宋体" w:cs="Arial"/>
      <w:snapToGrid w:val="0"/>
      <w:spacing w:val="-6"/>
      <w:kern w:val="0"/>
      <w:szCs w:val="21"/>
    </w:rPr>
  </w:style>
  <w:style w:type="paragraph" w:styleId="24">
    <w:name w:val="index 4"/>
    <w:basedOn w:val="1"/>
    <w:next w:val="1"/>
    <w:autoRedefine/>
    <w:qFormat/>
    <w:uiPriority w:val="0"/>
    <w:pPr>
      <w:ind w:left="600" w:leftChars="600"/>
    </w:pPr>
  </w:style>
  <w:style w:type="paragraph" w:styleId="25">
    <w:name w:val="toc 5"/>
    <w:basedOn w:val="1"/>
    <w:next w:val="1"/>
    <w:autoRedefine/>
    <w:qFormat/>
    <w:uiPriority w:val="39"/>
    <w:pPr>
      <w:ind w:left="1680" w:leftChars="800"/>
    </w:pPr>
  </w:style>
  <w:style w:type="paragraph" w:styleId="26">
    <w:name w:val="toc 3"/>
    <w:basedOn w:val="1"/>
    <w:next w:val="1"/>
    <w:autoRedefine/>
    <w:qFormat/>
    <w:uiPriority w:val="39"/>
    <w:pPr>
      <w:ind w:left="840" w:leftChars="400"/>
    </w:pPr>
  </w:style>
  <w:style w:type="paragraph" w:styleId="27">
    <w:name w:val="Plain Text"/>
    <w:basedOn w:val="1"/>
    <w:autoRedefine/>
    <w:qFormat/>
    <w:uiPriority w:val="0"/>
    <w:pPr>
      <w:ind w:firstLine="200" w:firstLineChars="200"/>
    </w:pPr>
    <w:rPr>
      <w:rFonts w:ascii="宋体" w:hAnsi="宋体"/>
      <w:color w:val="000000"/>
      <w:szCs w:val="18"/>
    </w:rPr>
  </w:style>
  <w:style w:type="paragraph" w:styleId="28">
    <w:name w:val="List Bullet 5"/>
    <w:basedOn w:val="1"/>
    <w:autoRedefine/>
    <w:qFormat/>
    <w:uiPriority w:val="0"/>
    <w:pPr>
      <w:tabs>
        <w:tab w:val="left" w:pos="360"/>
      </w:tabs>
    </w:pPr>
    <w:rPr>
      <w:rFonts w:ascii="宋体" w:hAnsi="宋体"/>
      <w:sz w:val="28"/>
    </w:rPr>
  </w:style>
  <w:style w:type="paragraph" w:styleId="29">
    <w:name w:val="toc 8"/>
    <w:basedOn w:val="1"/>
    <w:next w:val="1"/>
    <w:autoRedefine/>
    <w:qFormat/>
    <w:uiPriority w:val="39"/>
    <w:pPr>
      <w:spacing w:line="560" w:lineRule="exact"/>
      <w:ind w:firstLine="536" w:firstLineChars="200"/>
    </w:pPr>
    <w:rPr>
      <w:rFonts w:ascii="宋体" w:hAnsi="宋体"/>
      <w:spacing w:val="-6"/>
      <w:sz w:val="28"/>
    </w:rPr>
  </w:style>
  <w:style w:type="paragraph" w:styleId="30">
    <w:name w:val="index 3"/>
    <w:basedOn w:val="1"/>
    <w:next w:val="1"/>
    <w:autoRedefine/>
    <w:qFormat/>
    <w:uiPriority w:val="0"/>
    <w:pPr>
      <w:ind w:left="400" w:leftChars="400"/>
    </w:pPr>
  </w:style>
  <w:style w:type="paragraph" w:styleId="31">
    <w:name w:val="Date"/>
    <w:basedOn w:val="1"/>
    <w:next w:val="1"/>
    <w:autoRedefine/>
    <w:qFormat/>
    <w:uiPriority w:val="0"/>
    <w:rPr>
      <w:rFonts w:eastAsia="楷体_GB2312"/>
      <w:sz w:val="28"/>
      <w:szCs w:val="20"/>
    </w:rPr>
  </w:style>
  <w:style w:type="paragraph" w:styleId="32">
    <w:name w:val="Body Text Indent 2"/>
    <w:basedOn w:val="1"/>
    <w:autoRedefine/>
    <w:qFormat/>
    <w:uiPriority w:val="0"/>
    <w:pPr>
      <w:adjustRightInd w:val="0"/>
      <w:ind w:firstLine="200" w:firstLineChars="200"/>
    </w:pPr>
    <w:rPr>
      <w:rFonts w:ascii="宋体"/>
      <w:snapToGrid w:val="0"/>
      <w:spacing w:val="-6"/>
      <w:kern w:val="32"/>
    </w:rPr>
  </w:style>
  <w:style w:type="paragraph" w:styleId="33">
    <w:name w:val="Balloon Text"/>
    <w:basedOn w:val="1"/>
    <w:link w:val="83"/>
    <w:autoRedefine/>
    <w:qFormat/>
    <w:uiPriority w:val="0"/>
    <w:rPr>
      <w:sz w:val="18"/>
      <w:szCs w:val="18"/>
    </w:rPr>
  </w:style>
  <w:style w:type="paragraph" w:styleId="34">
    <w:name w:val="footer"/>
    <w:basedOn w:val="1"/>
    <w:link w:val="76"/>
    <w:autoRedefine/>
    <w:qFormat/>
    <w:uiPriority w:val="0"/>
    <w:pPr>
      <w:tabs>
        <w:tab w:val="center" w:pos="4153"/>
        <w:tab w:val="right" w:pos="8306"/>
      </w:tabs>
      <w:snapToGrid w:val="0"/>
      <w:jc w:val="left"/>
    </w:pPr>
    <w:rPr>
      <w:sz w:val="18"/>
      <w:szCs w:val="18"/>
    </w:rPr>
  </w:style>
  <w:style w:type="paragraph" w:styleId="35">
    <w:name w:val="header"/>
    <w:basedOn w:val="1"/>
    <w:link w:val="75"/>
    <w:autoRedefine/>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autoRedefine/>
    <w:qFormat/>
    <w:uiPriority w:val="39"/>
    <w:pPr>
      <w:tabs>
        <w:tab w:val="right" w:leader="dot" w:pos="9388"/>
      </w:tabs>
      <w:spacing w:line="360" w:lineRule="auto"/>
      <w:jc w:val="center"/>
    </w:pPr>
    <w:rPr>
      <w:rFonts w:ascii="Times New Roman" w:hAnsi="Times New Roman" w:eastAsia="宋体"/>
      <w:b/>
      <w:kern w:val="32"/>
      <w:szCs w:val="28"/>
    </w:rPr>
  </w:style>
  <w:style w:type="paragraph" w:styleId="37">
    <w:name w:val="toc 4"/>
    <w:basedOn w:val="1"/>
    <w:next w:val="1"/>
    <w:autoRedefine/>
    <w:qFormat/>
    <w:uiPriority w:val="39"/>
    <w:pPr>
      <w:ind w:left="1260" w:leftChars="600"/>
    </w:pPr>
  </w:style>
  <w:style w:type="paragraph" w:styleId="38">
    <w:name w:val="index heading"/>
    <w:basedOn w:val="1"/>
    <w:next w:val="39"/>
    <w:autoRedefine/>
    <w:semiHidden/>
    <w:qFormat/>
    <w:uiPriority w:val="0"/>
  </w:style>
  <w:style w:type="paragraph" w:styleId="39">
    <w:name w:val="index 1"/>
    <w:basedOn w:val="1"/>
    <w:next w:val="1"/>
    <w:autoRedefine/>
    <w:semiHidden/>
    <w:qFormat/>
    <w:uiPriority w:val="0"/>
    <w:rPr>
      <w:spacing w:val="-16"/>
      <w:sz w:val="28"/>
    </w:rPr>
  </w:style>
  <w:style w:type="paragraph" w:styleId="40">
    <w:name w:val="List"/>
    <w:basedOn w:val="1"/>
    <w:autoRedefine/>
    <w:qFormat/>
    <w:uiPriority w:val="0"/>
    <w:pPr>
      <w:ind w:left="420" w:hanging="420"/>
    </w:pPr>
    <w:rPr>
      <w:kern w:val="0"/>
      <w:szCs w:val="20"/>
    </w:rPr>
  </w:style>
  <w:style w:type="paragraph" w:styleId="41">
    <w:name w:val="footnote text"/>
    <w:basedOn w:val="1"/>
    <w:link w:val="89"/>
    <w:autoRedefine/>
    <w:qFormat/>
    <w:uiPriority w:val="0"/>
    <w:pPr>
      <w:snapToGrid w:val="0"/>
      <w:jc w:val="left"/>
    </w:pPr>
    <w:rPr>
      <w:kern w:val="0"/>
      <w:sz w:val="18"/>
      <w:szCs w:val="18"/>
    </w:rPr>
  </w:style>
  <w:style w:type="paragraph" w:styleId="42">
    <w:name w:val="toc 6"/>
    <w:basedOn w:val="1"/>
    <w:next w:val="1"/>
    <w:autoRedefine/>
    <w:qFormat/>
    <w:uiPriority w:val="39"/>
    <w:pPr>
      <w:spacing w:line="300" w:lineRule="exact"/>
    </w:pPr>
    <w:rPr>
      <w:snapToGrid w:val="0"/>
      <w:spacing w:val="-8"/>
      <w:kern w:val="0"/>
      <w:sz w:val="28"/>
    </w:rPr>
  </w:style>
  <w:style w:type="paragraph" w:styleId="43">
    <w:name w:val="Body Text Indent 3"/>
    <w:basedOn w:val="1"/>
    <w:autoRedefine/>
    <w:qFormat/>
    <w:uiPriority w:val="0"/>
    <w:pPr>
      <w:ind w:right="-215" w:firstLine="527"/>
    </w:pPr>
    <w:rPr>
      <w:rFonts w:ascii="宋体" w:hAnsi="宋体"/>
      <w:snapToGrid w:val="0"/>
      <w:spacing w:val="-6"/>
      <w:kern w:val="0"/>
    </w:rPr>
  </w:style>
  <w:style w:type="paragraph" w:styleId="44">
    <w:name w:val="index 7"/>
    <w:basedOn w:val="1"/>
    <w:next w:val="1"/>
    <w:autoRedefine/>
    <w:qFormat/>
    <w:uiPriority w:val="0"/>
    <w:pPr>
      <w:ind w:left="1200" w:leftChars="1200"/>
    </w:pPr>
  </w:style>
  <w:style w:type="paragraph" w:styleId="45">
    <w:name w:val="index 9"/>
    <w:basedOn w:val="1"/>
    <w:next w:val="1"/>
    <w:autoRedefine/>
    <w:qFormat/>
    <w:uiPriority w:val="0"/>
    <w:pPr>
      <w:ind w:left="1600" w:leftChars="1600"/>
    </w:pPr>
  </w:style>
  <w:style w:type="paragraph" w:styleId="46">
    <w:name w:val="toc 2"/>
    <w:basedOn w:val="1"/>
    <w:next w:val="1"/>
    <w:autoRedefine/>
    <w:qFormat/>
    <w:uiPriority w:val="39"/>
    <w:pPr>
      <w:spacing w:line="360" w:lineRule="auto"/>
      <w:ind w:left="200" w:leftChars="200"/>
    </w:pPr>
    <w:rPr>
      <w:rFonts w:ascii="Times New Roman" w:hAnsi="Times New Roman" w:eastAsia="宋体"/>
    </w:rPr>
  </w:style>
  <w:style w:type="paragraph" w:styleId="47">
    <w:name w:val="toc 9"/>
    <w:basedOn w:val="1"/>
    <w:next w:val="1"/>
    <w:autoRedefine/>
    <w:qFormat/>
    <w:uiPriority w:val="39"/>
    <w:pPr>
      <w:spacing w:line="300" w:lineRule="exact"/>
    </w:pPr>
    <w:rPr>
      <w:rFonts w:eastAsia="仿宋_GB2312"/>
      <w:spacing w:val="-20"/>
    </w:rPr>
  </w:style>
  <w:style w:type="paragraph" w:styleId="48">
    <w:name w:val="Body Text 2"/>
    <w:basedOn w:val="1"/>
    <w:autoRedefine/>
    <w:qFormat/>
    <w:uiPriority w:val="0"/>
    <w:pPr>
      <w:spacing w:line="380" w:lineRule="exact"/>
      <w:jc w:val="center"/>
    </w:pPr>
    <w:rPr>
      <w:kern w:val="0"/>
      <w:sz w:val="28"/>
      <w:szCs w:val="20"/>
    </w:rPr>
  </w:style>
  <w:style w:type="paragraph" w:styleId="49">
    <w:name w:val="Normal (Web)"/>
    <w:basedOn w:val="1"/>
    <w:next w:val="22"/>
    <w:autoRedefine/>
    <w:qFormat/>
    <w:uiPriority w:val="0"/>
    <w:pPr>
      <w:spacing w:line="400" w:lineRule="exact"/>
      <w:jc w:val="center"/>
    </w:pPr>
    <w:rPr>
      <w:rFonts w:ascii="宋体" w:hAnsi="宋体"/>
      <w:bCs/>
      <w:color w:val="000000"/>
      <w:szCs w:val="27"/>
    </w:rPr>
  </w:style>
  <w:style w:type="paragraph" w:styleId="50">
    <w:name w:val="index 2"/>
    <w:basedOn w:val="1"/>
    <w:next w:val="1"/>
    <w:autoRedefine/>
    <w:qFormat/>
    <w:uiPriority w:val="0"/>
    <w:pPr>
      <w:ind w:left="200" w:leftChars="200"/>
    </w:pPr>
  </w:style>
  <w:style w:type="paragraph" w:styleId="51">
    <w:name w:val="Title"/>
    <w:basedOn w:val="1"/>
    <w:next w:val="1"/>
    <w:link w:val="81"/>
    <w:autoRedefine/>
    <w:qFormat/>
    <w:uiPriority w:val="0"/>
    <w:pPr>
      <w:spacing w:before="240" w:after="60"/>
      <w:jc w:val="center"/>
      <w:outlineLvl w:val="0"/>
    </w:pPr>
    <w:rPr>
      <w:rFonts w:ascii="Arial" w:hAnsi="Arial" w:cs="Arial"/>
      <w:b/>
      <w:bCs/>
      <w:sz w:val="32"/>
      <w:szCs w:val="32"/>
    </w:rPr>
  </w:style>
  <w:style w:type="paragraph" w:styleId="52">
    <w:name w:val="Body Text First Indent"/>
    <w:basedOn w:val="22"/>
    <w:link w:val="174"/>
    <w:autoRedefine/>
    <w:qFormat/>
    <w:uiPriority w:val="0"/>
    <w:pPr>
      <w:spacing w:line="240" w:lineRule="auto"/>
      <w:ind w:firstLine="482"/>
    </w:pPr>
    <w:rPr>
      <w:rFonts w:ascii="Times New Roman" w:eastAsia="宋体"/>
      <w:sz w:val="24"/>
      <w:szCs w:val="20"/>
    </w:rPr>
  </w:style>
  <w:style w:type="paragraph" w:styleId="53">
    <w:name w:val="Body Text First Indent 2"/>
    <w:basedOn w:val="23"/>
    <w:link w:val="160"/>
    <w:autoRedefine/>
    <w:qFormat/>
    <w:uiPriority w:val="0"/>
    <w:pPr>
      <w:adjustRightInd/>
      <w:snapToGrid/>
      <w:spacing w:after="120" w:line="240" w:lineRule="auto"/>
      <w:ind w:left="420" w:leftChars="200" w:right="0" w:firstLine="210"/>
    </w:pPr>
    <w:rPr>
      <w:rFonts w:ascii="Times New Roman" w:hAnsi="Times New Roman" w:cs="Times New Roman"/>
      <w:snapToGrid/>
      <w:spacing w:val="0"/>
      <w:kern w:val="2"/>
      <w:sz w:val="21"/>
      <w:szCs w:val="24"/>
    </w:rPr>
  </w:style>
  <w:style w:type="table" w:styleId="55">
    <w:name w:val="Table Grid"/>
    <w:basedOn w:val="54"/>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basedOn w:val="56"/>
    <w:autoRedefine/>
    <w:qFormat/>
    <w:uiPriority w:val="0"/>
    <w:rPr>
      <w:b/>
      <w:bCs/>
    </w:rPr>
  </w:style>
  <w:style w:type="character" w:styleId="58">
    <w:name w:val="page number"/>
    <w:basedOn w:val="56"/>
    <w:autoRedefine/>
    <w:qFormat/>
    <w:uiPriority w:val="0"/>
  </w:style>
  <w:style w:type="character" w:styleId="59">
    <w:name w:val="FollowedHyperlink"/>
    <w:basedOn w:val="56"/>
    <w:autoRedefine/>
    <w:qFormat/>
    <w:uiPriority w:val="0"/>
    <w:rPr>
      <w:color w:val="800080"/>
      <w:u w:val="single"/>
    </w:rPr>
  </w:style>
  <w:style w:type="character" w:styleId="60">
    <w:name w:val="Hyperlink"/>
    <w:basedOn w:val="56"/>
    <w:autoRedefine/>
    <w:qFormat/>
    <w:uiPriority w:val="99"/>
    <w:rPr>
      <w:color w:val="0000FF"/>
      <w:u w:val="single"/>
    </w:rPr>
  </w:style>
  <w:style w:type="character" w:styleId="61">
    <w:name w:val="footnote reference"/>
    <w:autoRedefine/>
    <w:qFormat/>
    <w:uiPriority w:val="0"/>
    <w:rPr>
      <w:vertAlign w:val="superscript"/>
    </w:rPr>
  </w:style>
  <w:style w:type="character" w:customStyle="1" w:styleId="62">
    <w:name w:val="标题 1 Char"/>
    <w:link w:val="3"/>
    <w:autoRedefine/>
    <w:qFormat/>
    <w:uiPriority w:val="0"/>
    <w:rPr>
      <w:rFonts w:ascii="Times New Roman" w:hAnsi="Times New Roman" w:eastAsia="宋体"/>
      <w:b/>
      <w:bCs/>
      <w:kern w:val="2"/>
      <w:sz w:val="30"/>
      <w:szCs w:val="24"/>
    </w:rPr>
  </w:style>
  <w:style w:type="character" w:customStyle="1" w:styleId="63">
    <w:name w:val="标题 2 Char"/>
    <w:link w:val="4"/>
    <w:autoRedefine/>
    <w:qFormat/>
    <w:uiPriority w:val="0"/>
    <w:rPr>
      <w:rFonts w:ascii="宋体" w:hAnsi="宋体" w:eastAsia="宋体"/>
      <w:b/>
      <w:bCs/>
      <w:w w:val="100"/>
      <w:kern w:val="2"/>
      <w:sz w:val="28"/>
      <w:szCs w:val="36"/>
    </w:rPr>
  </w:style>
  <w:style w:type="character" w:customStyle="1" w:styleId="64">
    <w:name w:val="标题 3 Char"/>
    <w:link w:val="5"/>
    <w:autoRedefine/>
    <w:qFormat/>
    <w:uiPriority w:val="0"/>
    <w:rPr>
      <w:rFonts w:ascii="Times New Roman" w:hAnsi="Times New Roman" w:eastAsia="宋体"/>
      <w:b/>
      <w:bCs/>
      <w:kern w:val="2"/>
      <w:sz w:val="24"/>
      <w:szCs w:val="32"/>
    </w:rPr>
  </w:style>
  <w:style w:type="character" w:customStyle="1" w:styleId="65">
    <w:name w:val="标题 4 Char"/>
    <w:link w:val="6"/>
    <w:autoRedefine/>
    <w:qFormat/>
    <w:uiPriority w:val="0"/>
    <w:rPr>
      <w:rFonts w:ascii="宋体" w:hAnsi="宋体" w:eastAsia="宋体"/>
      <w:b/>
      <w:color w:val="000000"/>
      <w:sz w:val="24"/>
      <w:szCs w:val="24"/>
    </w:rPr>
  </w:style>
  <w:style w:type="character" w:customStyle="1" w:styleId="66">
    <w:name w:val="标题 5 Char"/>
    <w:link w:val="7"/>
    <w:autoRedefine/>
    <w:qFormat/>
    <w:uiPriority w:val="0"/>
    <w:rPr>
      <w:rFonts w:ascii="宋体" w:hAnsi="宋体" w:eastAsia="宋体"/>
      <w:b/>
      <w:kern w:val="2"/>
      <w:sz w:val="24"/>
      <w:szCs w:val="24"/>
    </w:rPr>
  </w:style>
  <w:style w:type="character" w:customStyle="1" w:styleId="67">
    <w:name w:val="标题 6 Char"/>
    <w:link w:val="8"/>
    <w:autoRedefine/>
    <w:qFormat/>
    <w:uiPriority w:val="0"/>
    <w:rPr>
      <w:rFonts w:ascii="宋体" w:hAnsi="宋体" w:eastAsia="宋体"/>
      <w:b/>
      <w:kern w:val="2"/>
      <w:sz w:val="24"/>
      <w:szCs w:val="24"/>
    </w:rPr>
  </w:style>
  <w:style w:type="character" w:customStyle="1" w:styleId="68">
    <w:name w:val="标题 7 Char"/>
    <w:link w:val="9"/>
    <w:autoRedefine/>
    <w:qFormat/>
    <w:uiPriority w:val="0"/>
    <w:rPr>
      <w:rFonts w:ascii="Times New Roman" w:hAnsi="Times New Roman" w:eastAsia="宋体"/>
      <w:b/>
      <w:kern w:val="2"/>
      <w:sz w:val="24"/>
      <w:szCs w:val="24"/>
    </w:rPr>
  </w:style>
  <w:style w:type="character" w:customStyle="1" w:styleId="69">
    <w:name w:val="标题 8 Char"/>
    <w:link w:val="11"/>
    <w:autoRedefine/>
    <w:qFormat/>
    <w:uiPriority w:val="0"/>
    <w:rPr>
      <w:rFonts w:ascii="宋体"/>
      <w:kern w:val="2"/>
      <w:sz w:val="28"/>
    </w:rPr>
  </w:style>
  <w:style w:type="character" w:customStyle="1" w:styleId="70">
    <w:name w:val="标题 9 Char"/>
    <w:link w:val="12"/>
    <w:autoRedefine/>
    <w:qFormat/>
    <w:uiPriority w:val="0"/>
    <w:rPr>
      <w:rFonts w:ascii="宋体"/>
      <w:b/>
      <w:kern w:val="2"/>
      <w:sz w:val="28"/>
    </w:rPr>
  </w:style>
  <w:style w:type="character" w:customStyle="1" w:styleId="71">
    <w:name w:val="正文文本缩进 Char1"/>
    <w:link w:val="23"/>
    <w:autoRedefine/>
    <w:qFormat/>
    <w:uiPriority w:val="0"/>
    <w:rPr>
      <w:rFonts w:ascii="宋体" w:hAnsi="宋体" w:cs="Arial"/>
      <w:snapToGrid w:val="0"/>
      <w:spacing w:val="-6"/>
      <w:sz w:val="24"/>
      <w:szCs w:val="21"/>
    </w:rPr>
  </w:style>
  <w:style w:type="character" w:customStyle="1" w:styleId="72">
    <w:name w:val="正文文本 Char"/>
    <w:link w:val="22"/>
    <w:autoRedefine/>
    <w:qFormat/>
    <w:uiPriority w:val="0"/>
    <w:rPr>
      <w:rFonts w:ascii="仿宋_GB2312" w:hAnsi="仿宋_GB2312" w:eastAsia="宋体"/>
      <w:kern w:val="2"/>
      <w:sz w:val="24"/>
      <w:szCs w:val="24"/>
    </w:rPr>
  </w:style>
  <w:style w:type="character" w:customStyle="1" w:styleId="73">
    <w:name w:val="正文缩进 Char"/>
    <w:link w:val="15"/>
    <w:autoRedefine/>
    <w:qFormat/>
    <w:uiPriority w:val="0"/>
    <w:rPr>
      <w:sz w:val="24"/>
    </w:rPr>
  </w:style>
  <w:style w:type="paragraph" w:customStyle="1" w:styleId="74">
    <w:name w:val="隐标格式"/>
    <w:basedOn w:val="27"/>
    <w:autoRedefine/>
    <w:qFormat/>
    <w:uiPriority w:val="0"/>
    <w:pPr>
      <w:snapToGrid w:val="0"/>
      <w:ind w:firstLine="560"/>
    </w:pPr>
    <w:rPr>
      <w:rFonts w:ascii="Times New Roman" w:hAnsi="Times New Roman"/>
      <w:lang w:bidi="he-IL"/>
    </w:rPr>
  </w:style>
  <w:style w:type="character" w:customStyle="1" w:styleId="75">
    <w:name w:val="页眉 Char"/>
    <w:link w:val="35"/>
    <w:autoRedefine/>
    <w:qFormat/>
    <w:uiPriority w:val="0"/>
    <w:rPr>
      <w:kern w:val="2"/>
      <w:sz w:val="18"/>
      <w:szCs w:val="18"/>
    </w:rPr>
  </w:style>
  <w:style w:type="character" w:customStyle="1" w:styleId="76">
    <w:name w:val="页脚 Char"/>
    <w:link w:val="34"/>
    <w:autoRedefine/>
    <w:qFormat/>
    <w:uiPriority w:val="0"/>
    <w:rPr>
      <w:kern w:val="2"/>
      <w:sz w:val="18"/>
      <w:szCs w:val="18"/>
    </w:rPr>
  </w:style>
  <w:style w:type="paragraph" w:customStyle="1" w:styleId="77">
    <w:name w:val="90v"/>
    <w:basedOn w:val="1"/>
    <w:autoRedefine/>
    <w:qFormat/>
    <w:uiPriority w:val="0"/>
    <w:pPr>
      <w:widowControl/>
      <w:spacing w:before="100" w:beforeAutospacing="1" w:after="100" w:afterAutospacing="1"/>
      <w:jc w:val="left"/>
    </w:pPr>
    <w:rPr>
      <w:rFonts w:ascii="Arial Unicode MS" w:hAnsi="Arial Unicode MS" w:eastAsia="Arial Unicode MS"/>
      <w:kern w:val="0"/>
    </w:rPr>
  </w:style>
  <w:style w:type="character" w:customStyle="1" w:styleId="78">
    <w:name w:val="myfont11"/>
    <w:autoRedefine/>
    <w:qFormat/>
    <w:uiPriority w:val="0"/>
    <w:rPr>
      <w:rFonts w:hint="default" w:ascii="TYPE" w:hAnsi="TYPE"/>
      <w:color w:val="000000"/>
      <w:spacing w:val="240"/>
      <w:sz w:val="18"/>
      <w:szCs w:val="18"/>
      <w:u w:val="none"/>
    </w:rPr>
  </w:style>
  <w:style w:type="paragraph" w:customStyle="1" w:styleId="79">
    <w:name w:val="简单回函地址"/>
    <w:basedOn w:val="1"/>
    <w:autoRedefine/>
    <w:qFormat/>
    <w:uiPriority w:val="0"/>
  </w:style>
  <w:style w:type="paragraph" w:customStyle="1" w:styleId="80">
    <w:name w:val="样式1"/>
    <w:basedOn w:val="51"/>
    <w:autoRedefine/>
    <w:qFormat/>
    <w:uiPriority w:val="0"/>
    <w:pPr>
      <w:autoSpaceDE w:val="0"/>
      <w:autoSpaceDN w:val="0"/>
      <w:adjustRightInd w:val="0"/>
      <w:spacing w:before="82"/>
      <w:ind w:left="126" w:right="-20"/>
      <w:jc w:val="left"/>
    </w:pPr>
    <w:rPr>
      <w:rFonts w:ascii="宋体" w:hAnsi="宋体"/>
      <w:b w:val="0"/>
      <w:bCs w:val="0"/>
      <w:kern w:val="0"/>
      <w:sz w:val="28"/>
      <w:szCs w:val="28"/>
    </w:rPr>
  </w:style>
  <w:style w:type="character" w:customStyle="1" w:styleId="81">
    <w:name w:val="标题 Char"/>
    <w:link w:val="51"/>
    <w:autoRedefine/>
    <w:qFormat/>
    <w:uiPriority w:val="0"/>
    <w:rPr>
      <w:rFonts w:ascii="Arial" w:hAnsi="Arial" w:cs="Arial"/>
      <w:b/>
      <w:bCs/>
      <w:kern w:val="2"/>
      <w:sz w:val="32"/>
      <w:szCs w:val="32"/>
    </w:rPr>
  </w:style>
  <w:style w:type="paragraph" w:customStyle="1" w:styleId="82">
    <w:name w:val="样式3"/>
    <w:basedOn w:val="3"/>
    <w:autoRedefine/>
    <w:qFormat/>
    <w:uiPriority w:val="0"/>
    <w:pPr>
      <w:tabs>
        <w:tab w:val="left" w:pos="360"/>
      </w:tabs>
      <w:spacing w:before="340" w:after="330" w:line="578" w:lineRule="auto"/>
      <w:ind w:left="360" w:hanging="360"/>
      <w:jc w:val="both"/>
    </w:pPr>
    <w:rPr>
      <w:b w:val="0"/>
      <w:kern w:val="44"/>
      <w:sz w:val="28"/>
      <w:szCs w:val="44"/>
    </w:rPr>
  </w:style>
  <w:style w:type="character" w:customStyle="1" w:styleId="83">
    <w:name w:val="批注框文本 Char"/>
    <w:link w:val="33"/>
    <w:autoRedefine/>
    <w:qFormat/>
    <w:uiPriority w:val="0"/>
    <w:rPr>
      <w:kern w:val="2"/>
      <w:sz w:val="18"/>
      <w:szCs w:val="18"/>
    </w:rPr>
  </w:style>
  <w:style w:type="paragraph" w:customStyle="1" w:styleId="84">
    <w:name w:val="方案正文"/>
    <w:basedOn w:val="15"/>
    <w:link w:val="85"/>
    <w:autoRedefine/>
    <w:qFormat/>
    <w:uiPriority w:val="0"/>
    <w:pPr>
      <w:spacing w:line="440" w:lineRule="exact"/>
      <w:ind w:firstLine="561"/>
    </w:pPr>
    <w:rPr>
      <w:rFonts w:ascii="宋体" w:hAnsi="宋体"/>
      <w:snapToGrid w:val="0"/>
      <w:szCs w:val="24"/>
    </w:rPr>
  </w:style>
  <w:style w:type="character" w:customStyle="1" w:styleId="85">
    <w:name w:val="方案正文 Char1"/>
    <w:link w:val="84"/>
    <w:autoRedefine/>
    <w:qFormat/>
    <w:uiPriority w:val="0"/>
    <w:rPr>
      <w:rFonts w:ascii="宋体" w:hAnsi="宋体"/>
      <w:snapToGrid w:val="0"/>
      <w:sz w:val="24"/>
      <w:szCs w:val="24"/>
    </w:rPr>
  </w:style>
  <w:style w:type="paragraph" w:customStyle="1" w:styleId="86">
    <w:name w:val="儿科大楼正文"/>
    <w:basedOn w:val="1"/>
    <w:autoRedefine/>
    <w:qFormat/>
    <w:uiPriority w:val="0"/>
    <w:pPr>
      <w:ind w:firstLine="200" w:firstLineChars="200"/>
    </w:pPr>
    <w:rPr>
      <w:rFonts w:ascii="宋体"/>
      <w:spacing w:val="-6"/>
    </w:rPr>
  </w:style>
  <w:style w:type="character" w:customStyle="1" w:styleId="87">
    <w:name w:val="正文文本缩进 Char"/>
    <w:link w:val="88"/>
    <w:autoRedefine/>
    <w:qFormat/>
    <w:uiPriority w:val="0"/>
    <w:rPr>
      <w:rFonts w:ascii="Calibri" w:hAnsi="Calibri" w:cs="黑体"/>
      <w:kern w:val="2"/>
      <w:sz w:val="21"/>
      <w:szCs w:val="22"/>
    </w:rPr>
  </w:style>
  <w:style w:type="paragraph" w:customStyle="1" w:styleId="88">
    <w:name w:val="正文文本缩进1"/>
    <w:basedOn w:val="1"/>
    <w:link w:val="87"/>
    <w:autoRedefine/>
    <w:qFormat/>
    <w:uiPriority w:val="0"/>
    <w:pPr>
      <w:spacing w:after="120"/>
      <w:ind w:left="420" w:leftChars="200"/>
    </w:pPr>
    <w:rPr>
      <w:rFonts w:ascii="Calibri" w:hAnsi="Calibri" w:cs="黑体"/>
      <w:szCs w:val="22"/>
    </w:rPr>
  </w:style>
  <w:style w:type="character" w:customStyle="1" w:styleId="89">
    <w:name w:val="脚注文本 Char"/>
    <w:link w:val="41"/>
    <w:autoRedefine/>
    <w:qFormat/>
    <w:uiPriority w:val="0"/>
    <w:rPr>
      <w:sz w:val="18"/>
      <w:szCs w:val="18"/>
    </w:rPr>
  </w:style>
  <w:style w:type="character" w:customStyle="1" w:styleId="90">
    <w:name w:val="批注文字 Char"/>
    <w:link w:val="19"/>
    <w:autoRedefine/>
    <w:qFormat/>
    <w:uiPriority w:val="0"/>
    <w:rPr>
      <w:szCs w:val="24"/>
    </w:rPr>
  </w:style>
  <w:style w:type="character" w:customStyle="1" w:styleId="91">
    <w:name w:val="纯文本 Char"/>
    <w:link w:val="92"/>
    <w:autoRedefine/>
    <w:qFormat/>
    <w:uiPriority w:val="0"/>
    <w:rPr>
      <w:rFonts w:ascii="宋体"/>
      <w:szCs w:val="24"/>
    </w:rPr>
  </w:style>
  <w:style w:type="paragraph" w:customStyle="1" w:styleId="92">
    <w:name w:val="纯文本1"/>
    <w:basedOn w:val="1"/>
    <w:link w:val="91"/>
    <w:autoRedefine/>
    <w:qFormat/>
    <w:uiPriority w:val="0"/>
    <w:rPr>
      <w:rFonts w:ascii="宋体"/>
      <w:kern w:val="0"/>
      <w:sz w:val="20"/>
    </w:rPr>
  </w:style>
  <w:style w:type="character" w:customStyle="1" w:styleId="93">
    <w:name w:val="HTML 预设格式 Char"/>
    <w:link w:val="94"/>
    <w:autoRedefine/>
    <w:qFormat/>
    <w:uiPriority w:val="0"/>
    <w:rPr>
      <w:rFonts w:ascii="Arial Unicode MS" w:eastAsia="Arial Unicode MS" w:cs="Arial Unicode MS"/>
      <w:color w:val="000000"/>
      <w:szCs w:val="24"/>
    </w:rPr>
  </w:style>
  <w:style w:type="paragraph" w:customStyle="1" w:styleId="94">
    <w:name w:val="HTML 预设格式1"/>
    <w:basedOn w:val="1"/>
    <w:link w:val="9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cs="Arial Unicode MS"/>
      <w:color w:val="000000"/>
      <w:kern w:val="0"/>
      <w:sz w:val="20"/>
    </w:rPr>
  </w:style>
  <w:style w:type="character" w:customStyle="1" w:styleId="95">
    <w:name w:val="文档结构图 Char"/>
    <w:link w:val="96"/>
    <w:autoRedefine/>
    <w:qFormat/>
    <w:uiPriority w:val="0"/>
    <w:rPr>
      <w:szCs w:val="24"/>
      <w:shd w:val="clear" w:color="auto" w:fill="000080"/>
    </w:rPr>
  </w:style>
  <w:style w:type="paragraph" w:customStyle="1" w:styleId="96">
    <w:name w:val="文档结构图1"/>
    <w:basedOn w:val="1"/>
    <w:link w:val="95"/>
    <w:autoRedefine/>
    <w:qFormat/>
    <w:uiPriority w:val="0"/>
    <w:pPr>
      <w:numPr>
        <w:ilvl w:val="0"/>
        <w:numId w:val="3"/>
      </w:numPr>
      <w:shd w:val="clear" w:color="auto" w:fill="000080"/>
      <w:ind w:left="0" w:firstLine="0"/>
    </w:pPr>
    <w:rPr>
      <w:kern w:val="0"/>
      <w:sz w:val="20"/>
      <w:shd w:val="clear" w:color="auto" w:fill="000080"/>
    </w:rPr>
  </w:style>
  <w:style w:type="character" w:customStyle="1" w:styleId="97">
    <w:name w:val="称呼 Char"/>
    <w:link w:val="98"/>
    <w:autoRedefine/>
    <w:qFormat/>
    <w:uiPriority w:val="0"/>
    <w:rPr>
      <w:rFonts w:ascii="宋体"/>
      <w:sz w:val="24"/>
      <w:szCs w:val="24"/>
    </w:rPr>
  </w:style>
  <w:style w:type="paragraph" w:customStyle="1" w:styleId="98">
    <w:name w:val="称呼1"/>
    <w:basedOn w:val="1"/>
    <w:next w:val="1"/>
    <w:link w:val="97"/>
    <w:autoRedefine/>
    <w:qFormat/>
    <w:uiPriority w:val="0"/>
    <w:rPr>
      <w:rFonts w:ascii="宋体"/>
      <w:kern w:val="0"/>
    </w:rPr>
  </w:style>
  <w:style w:type="character" w:customStyle="1" w:styleId="99">
    <w:name w:val="正文文本 3 Char"/>
    <w:link w:val="100"/>
    <w:autoRedefine/>
    <w:qFormat/>
    <w:uiPriority w:val="0"/>
    <w:rPr>
      <w:sz w:val="23"/>
      <w:szCs w:val="24"/>
    </w:rPr>
  </w:style>
  <w:style w:type="paragraph" w:customStyle="1" w:styleId="100">
    <w:name w:val="正文文本 31"/>
    <w:basedOn w:val="1"/>
    <w:link w:val="99"/>
    <w:autoRedefine/>
    <w:qFormat/>
    <w:uiPriority w:val="0"/>
    <w:pPr>
      <w:spacing w:line="300" w:lineRule="exact"/>
    </w:pPr>
    <w:rPr>
      <w:kern w:val="0"/>
      <w:sz w:val="23"/>
    </w:rPr>
  </w:style>
  <w:style w:type="character" w:customStyle="1" w:styleId="101">
    <w:name w:val="日期 Char"/>
    <w:link w:val="102"/>
    <w:autoRedefine/>
    <w:qFormat/>
    <w:uiPriority w:val="0"/>
    <w:rPr>
      <w:sz w:val="28"/>
      <w:szCs w:val="24"/>
    </w:rPr>
  </w:style>
  <w:style w:type="paragraph" w:customStyle="1" w:styleId="102">
    <w:name w:val="日期1"/>
    <w:basedOn w:val="1"/>
    <w:next w:val="1"/>
    <w:link w:val="101"/>
    <w:autoRedefine/>
    <w:qFormat/>
    <w:uiPriority w:val="0"/>
    <w:rPr>
      <w:kern w:val="0"/>
      <w:sz w:val="28"/>
    </w:rPr>
  </w:style>
  <w:style w:type="character" w:customStyle="1" w:styleId="103">
    <w:name w:val="正文文本缩进 2 Char"/>
    <w:link w:val="104"/>
    <w:autoRedefine/>
    <w:qFormat/>
    <w:uiPriority w:val="0"/>
    <w:rPr>
      <w:rFonts w:eastAsia="仿宋_GB2312"/>
      <w:sz w:val="28"/>
      <w:szCs w:val="24"/>
    </w:rPr>
  </w:style>
  <w:style w:type="paragraph" w:customStyle="1" w:styleId="104">
    <w:name w:val="正文文本缩进 21"/>
    <w:basedOn w:val="1"/>
    <w:link w:val="103"/>
    <w:autoRedefine/>
    <w:qFormat/>
    <w:uiPriority w:val="0"/>
    <w:pPr>
      <w:ind w:firstLine="570"/>
    </w:pPr>
    <w:rPr>
      <w:rFonts w:eastAsia="仿宋_GB2312"/>
      <w:kern w:val="0"/>
      <w:sz w:val="28"/>
    </w:rPr>
  </w:style>
  <w:style w:type="character" w:customStyle="1" w:styleId="105">
    <w:name w:val="正文文本 2 Char"/>
    <w:link w:val="106"/>
    <w:autoRedefine/>
    <w:qFormat/>
    <w:uiPriority w:val="0"/>
    <w:rPr>
      <w:rFonts w:ascii="楷体_GB2312" w:hAnsi="楷体_GB2312" w:eastAsia="楷体_GB2312"/>
      <w:sz w:val="24"/>
      <w:szCs w:val="24"/>
    </w:rPr>
  </w:style>
  <w:style w:type="paragraph" w:customStyle="1" w:styleId="106">
    <w:name w:val="正文文本 21"/>
    <w:basedOn w:val="1"/>
    <w:link w:val="105"/>
    <w:autoRedefine/>
    <w:qFormat/>
    <w:uiPriority w:val="0"/>
    <w:pPr>
      <w:numPr>
        <w:ilvl w:val="0"/>
        <w:numId w:val="4"/>
      </w:numPr>
      <w:spacing w:line="240" w:lineRule="exact"/>
      <w:ind w:left="0" w:firstLine="0"/>
      <w:jc w:val="center"/>
    </w:pPr>
    <w:rPr>
      <w:rFonts w:ascii="楷体_GB2312" w:hAnsi="楷体_GB2312" w:eastAsia="楷体_GB2312"/>
      <w:kern w:val="0"/>
    </w:rPr>
  </w:style>
  <w:style w:type="character" w:customStyle="1" w:styleId="107">
    <w:name w:val="正文文本缩进 3 Char"/>
    <w:link w:val="108"/>
    <w:autoRedefine/>
    <w:qFormat/>
    <w:uiPriority w:val="0"/>
    <w:rPr>
      <w:rFonts w:ascii="宋体" w:hAnsi="宋体" w:eastAsia="仿宋_GB2312"/>
      <w:spacing w:val="6"/>
      <w:sz w:val="28"/>
    </w:rPr>
  </w:style>
  <w:style w:type="paragraph" w:customStyle="1" w:styleId="108">
    <w:name w:val="正文文本缩进 31"/>
    <w:basedOn w:val="1"/>
    <w:link w:val="107"/>
    <w:autoRedefine/>
    <w:qFormat/>
    <w:uiPriority w:val="0"/>
    <w:pPr>
      <w:ind w:firstLine="570"/>
    </w:pPr>
    <w:rPr>
      <w:rFonts w:ascii="宋体" w:hAnsi="宋体" w:eastAsia="仿宋_GB2312"/>
      <w:spacing w:val="6"/>
      <w:kern w:val="0"/>
      <w:sz w:val="28"/>
      <w:szCs w:val="20"/>
    </w:rPr>
  </w:style>
  <w:style w:type="character" w:customStyle="1" w:styleId="109">
    <w:name w:val="正文文本缩进 3 Char Char"/>
    <w:autoRedefine/>
    <w:qFormat/>
    <w:uiPriority w:val="0"/>
    <w:rPr>
      <w:rFonts w:ascii="宋体" w:hAnsi="宋体" w:eastAsia="仿宋_GB2312"/>
      <w:spacing w:val="6"/>
      <w:kern w:val="2"/>
      <w:sz w:val="28"/>
    </w:rPr>
  </w:style>
  <w:style w:type="character" w:customStyle="1" w:styleId="110">
    <w:name w:val="页码1"/>
    <w:basedOn w:val="56"/>
    <w:autoRedefine/>
    <w:qFormat/>
    <w:uiPriority w:val="0"/>
  </w:style>
  <w:style w:type="character" w:customStyle="1" w:styleId="111">
    <w:name w:val="批注引用1"/>
    <w:autoRedefine/>
    <w:qFormat/>
    <w:uiPriority w:val="0"/>
    <w:rPr>
      <w:sz w:val="21"/>
    </w:rPr>
  </w:style>
  <w:style w:type="character" w:customStyle="1" w:styleId="112">
    <w:name w:val="标题 9 Char Char"/>
    <w:autoRedefine/>
    <w:qFormat/>
    <w:uiPriority w:val="0"/>
    <w:rPr>
      <w:rFonts w:ascii="宋体"/>
      <w:b/>
      <w:kern w:val="2"/>
      <w:sz w:val="28"/>
    </w:rPr>
  </w:style>
  <w:style w:type="character" w:customStyle="1" w:styleId="113">
    <w:name w:val="style101"/>
    <w:autoRedefine/>
    <w:qFormat/>
    <w:uiPriority w:val="0"/>
    <w:rPr>
      <w:rFonts w:ascii="宋体" w:eastAsia="宋体"/>
      <w:b/>
      <w:bCs/>
      <w:color w:val="000000"/>
      <w:spacing w:val="240"/>
      <w:sz w:val="28"/>
      <w:szCs w:val="28"/>
    </w:rPr>
  </w:style>
  <w:style w:type="character" w:customStyle="1" w:styleId="114">
    <w:name w:val="3zw1"/>
    <w:autoRedefine/>
    <w:qFormat/>
    <w:uiPriority w:val="0"/>
    <w:rPr>
      <w:color w:val="000000"/>
      <w:sz w:val="21"/>
      <w:szCs w:val="21"/>
    </w:rPr>
  </w:style>
  <w:style w:type="character" w:customStyle="1" w:styleId="115">
    <w:name w:val="标题 5 Char Char"/>
    <w:autoRedefine/>
    <w:qFormat/>
    <w:uiPriority w:val="0"/>
    <w:rPr>
      <w:rFonts w:ascii="宋体"/>
      <w:b/>
      <w:kern w:val="2"/>
      <w:sz w:val="28"/>
    </w:rPr>
  </w:style>
  <w:style w:type="character" w:customStyle="1" w:styleId="116">
    <w:name w:val="页脚 Char Char"/>
    <w:autoRedefine/>
    <w:qFormat/>
    <w:uiPriority w:val="0"/>
    <w:rPr>
      <w:rFonts w:ascii="Times New Roman" w:hAnsi="Times New Roman"/>
      <w:kern w:val="2"/>
      <w:sz w:val="18"/>
      <w:szCs w:val="18"/>
    </w:rPr>
  </w:style>
  <w:style w:type="character" w:customStyle="1" w:styleId="117">
    <w:name w:val="textcontents"/>
    <w:basedOn w:val="56"/>
    <w:autoRedefine/>
    <w:qFormat/>
    <w:uiPriority w:val="0"/>
  </w:style>
  <w:style w:type="character" w:customStyle="1" w:styleId="118">
    <w:name w:val="行号1"/>
    <w:basedOn w:val="56"/>
    <w:autoRedefine/>
    <w:qFormat/>
    <w:uiPriority w:val="0"/>
  </w:style>
  <w:style w:type="character" w:customStyle="1" w:styleId="119">
    <w:name w:val="info"/>
    <w:basedOn w:val="56"/>
    <w:autoRedefine/>
    <w:qFormat/>
    <w:uiPriority w:val="0"/>
  </w:style>
  <w:style w:type="character" w:customStyle="1" w:styleId="120">
    <w:name w:val="标题 8 Char Char"/>
    <w:autoRedefine/>
    <w:qFormat/>
    <w:uiPriority w:val="0"/>
    <w:rPr>
      <w:rFonts w:ascii="宋体"/>
      <w:kern w:val="2"/>
      <w:sz w:val="28"/>
    </w:rPr>
  </w:style>
  <w:style w:type="paragraph" w:customStyle="1" w:styleId="121">
    <w:name w:val="插图"/>
    <w:basedOn w:val="1"/>
    <w:next w:val="1"/>
    <w:autoRedefine/>
    <w:qFormat/>
    <w:uiPriority w:val="0"/>
    <w:pPr>
      <w:widowControl/>
      <w:jc w:val="center"/>
    </w:pPr>
    <w:rPr>
      <w:rFonts w:ascii="宋体" w:cs="宋体"/>
      <w:kern w:val="0"/>
      <w:szCs w:val="18"/>
    </w:rPr>
  </w:style>
  <w:style w:type="paragraph" w:customStyle="1" w:styleId="122">
    <w:name w:val="Char"/>
    <w:basedOn w:val="1"/>
    <w:autoRedefine/>
    <w:qFormat/>
    <w:uiPriority w:val="0"/>
    <w:rPr>
      <w:rFonts w:ascii="Tahoma" w:hAnsi="Tahoma"/>
      <w:szCs w:val="20"/>
    </w:rPr>
  </w:style>
  <w:style w:type="paragraph" w:customStyle="1" w:styleId="123">
    <w:name w:val="Contents"/>
    <w:basedOn w:val="1"/>
    <w:autoRedefine/>
    <w:qFormat/>
    <w:uiPriority w:val="0"/>
    <w:pPr>
      <w:tabs>
        <w:tab w:val="right" w:leader="dot" w:pos="7800"/>
      </w:tabs>
      <w:adjustRightInd w:val="0"/>
      <w:snapToGrid w:val="0"/>
      <w:spacing w:line="264" w:lineRule="auto"/>
    </w:pPr>
    <w:rPr>
      <w:rFonts w:ascii="Dutch801 Rm BT" w:hAnsi="Dutch801 Rm BT" w:eastAsia="汉仪书宋一简"/>
    </w:rPr>
  </w:style>
  <w:style w:type="character" w:customStyle="1" w:styleId="124">
    <w:name w:val="脚注文本 Char1"/>
    <w:autoRedefine/>
    <w:qFormat/>
    <w:uiPriority w:val="0"/>
    <w:rPr>
      <w:kern w:val="2"/>
      <w:sz w:val="18"/>
      <w:szCs w:val="18"/>
    </w:rPr>
  </w:style>
  <w:style w:type="paragraph" w:customStyle="1" w:styleId="125">
    <w:name w:val="样式10"/>
    <w:basedOn w:val="1"/>
    <w:autoRedefine/>
    <w:qFormat/>
    <w:uiPriority w:val="0"/>
    <w:pPr>
      <w:widowControl/>
      <w:spacing w:before="120" w:after="120" w:line="360" w:lineRule="auto"/>
    </w:pPr>
    <w:rPr>
      <w:rFonts w:ascii="仿宋_GB2312" w:hAnsi="仿宋_GB2312" w:eastAsia="仿宋_GB2312"/>
      <w:spacing w:val="20"/>
      <w:kern w:val="0"/>
      <w:szCs w:val="20"/>
    </w:rPr>
  </w:style>
  <w:style w:type="paragraph" w:customStyle="1" w:styleId="126">
    <w:name w:val="Style Heading 2 + First line:  2 ch"/>
    <w:basedOn w:val="4"/>
    <w:autoRedefine/>
    <w:qFormat/>
    <w:uiPriority w:val="0"/>
    <w:pPr>
      <w:snapToGrid w:val="0"/>
      <w:spacing w:line="264" w:lineRule="auto"/>
      <w:jc w:val="both"/>
    </w:pPr>
    <w:rPr>
      <w:rFonts w:ascii="Dutch801 XBd BT" w:hAnsi="Dutch801 XBd BT" w:eastAsia="汉仪大宋简" w:cs="黑体"/>
      <w:b w:val="0"/>
      <w:bCs w:val="0"/>
      <w:kern w:val="44"/>
      <w:sz w:val="32"/>
      <w:szCs w:val="20"/>
    </w:rPr>
  </w:style>
  <w:style w:type="paragraph" w:customStyle="1" w:styleId="127">
    <w:name w:val="样式2"/>
    <w:basedOn w:val="3"/>
    <w:autoRedefine/>
    <w:qFormat/>
    <w:uiPriority w:val="0"/>
    <w:pPr>
      <w:keepNext w:val="0"/>
      <w:keepLines w:val="0"/>
      <w:spacing w:line="240" w:lineRule="auto"/>
      <w:jc w:val="both"/>
      <w:outlineLvl w:val="9"/>
    </w:pPr>
    <w:rPr>
      <w:rFonts w:ascii="宋体"/>
      <w:b w:val="0"/>
      <w:bCs w:val="0"/>
      <w:color w:val="000000"/>
      <w:kern w:val="44"/>
      <w:sz w:val="24"/>
      <w:szCs w:val="20"/>
    </w:rPr>
  </w:style>
  <w:style w:type="character" w:customStyle="1" w:styleId="128">
    <w:name w:val="批注文字 Char1"/>
    <w:autoRedefine/>
    <w:qFormat/>
    <w:uiPriority w:val="0"/>
    <w:rPr>
      <w:kern w:val="2"/>
      <w:sz w:val="21"/>
      <w:szCs w:val="24"/>
    </w:rPr>
  </w:style>
  <w:style w:type="paragraph" w:customStyle="1" w:styleId="129">
    <w:name w:val="È±Ê¡ÎÄ±¾"/>
    <w:basedOn w:val="1"/>
    <w:autoRedefine/>
    <w:qFormat/>
    <w:uiPriority w:val="0"/>
    <w:pPr>
      <w:widowControl/>
      <w:overflowPunct w:val="0"/>
      <w:autoSpaceDE w:val="0"/>
      <w:autoSpaceDN w:val="0"/>
      <w:adjustRightInd w:val="0"/>
      <w:jc w:val="left"/>
      <w:textAlignment w:val="baseline"/>
    </w:pPr>
    <w:rPr>
      <w:rFonts w:ascii="仿宋_GB2312" w:hAnsi="仿宋_GB2312" w:eastAsia="仿宋_GB2312"/>
      <w:kern w:val="0"/>
      <w:szCs w:val="20"/>
    </w:rPr>
  </w:style>
  <w:style w:type="paragraph" w:customStyle="1" w:styleId="130">
    <w:name w:val="图标1"/>
    <w:next w:val="1"/>
    <w:autoRedefine/>
    <w:qFormat/>
    <w:uiPriority w:val="0"/>
    <w:pPr>
      <w:spacing w:beforeLines="100" w:afterLines="100" w:line="400" w:lineRule="atLeast"/>
      <w:jc w:val="center"/>
    </w:pPr>
    <w:rPr>
      <w:rFonts w:ascii="宋体" w:hAnsi="Times New Roman" w:eastAsia="宋体" w:cs="Arial"/>
      <w:lang w:val="en-US" w:eastAsia="zh-CN" w:bidi="ar-SA"/>
    </w:rPr>
  </w:style>
  <w:style w:type="paragraph" w:customStyle="1" w:styleId="131">
    <w:name w:val="纯文本11"/>
    <w:basedOn w:val="1"/>
    <w:autoRedefine/>
    <w:qFormat/>
    <w:uiPriority w:val="0"/>
    <w:pPr>
      <w:numPr>
        <w:ilvl w:val="0"/>
        <w:numId w:val="5"/>
      </w:numPr>
      <w:autoSpaceDE w:val="0"/>
      <w:autoSpaceDN w:val="0"/>
      <w:adjustRightInd w:val="0"/>
      <w:ind w:left="0" w:firstLine="0"/>
      <w:textAlignment w:val="baseline"/>
    </w:pPr>
    <w:rPr>
      <w:rFonts w:ascii="宋体"/>
      <w:szCs w:val="20"/>
    </w:rPr>
  </w:style>
  <w:style w:type="paragraph" w:customStyle="1" w:styleId="132">
    <w:name w:val="Cover Title"/>
    <w:basedOn w:val="133"/>
    <w:autoRedefine/>
    <w:qFormat/>
    <w:uiPriority w:val="0"/>
    <w:pPr>
      <w:numPr>
        <w:ilvl w:val="0"/>
        <w:numId w:val="6"/>
      </w:numPr>
      <w:pBdr>
        <w:right w:val="single" w:color="auto" w:sz="4" w:space="15"/>
      </w:pBdr>
      <w:tabs>
        <w:tab w:val="left" w:pos="2040"/>
      </w:tabs>
      <w:ind w:left="0" w:right="100" w:rightChars="100" w:firstLine="0"/>
    </w:pPr>
    <w:rPr>
      <w:rFonts w:ascii="Dutch801 XBd BT" w:hAnsi="Dutch801 XBd BT" w:eastAsia="汉仪大宋简"/>
      <w:sz w:val="56"/>
      <w:szCs w:val="56"/>
    </w:rPr>
  </w:style>
  <w:style w:type="paragraph" w:customStyle="1" w:styleId="133">
    <w:name w:val="Normal Body Text Right"/>
    <w:basedOn w:val="134"/>
    <w:autoRedefine/>
    <w:qFormat/>
    <w:uiPriority w:val="0"/>
    <w:pPr>
      <w:numPr>
        <w:ilvl w:val="0"/>
        <w:numId w:val="7"/>
      </w:numPr>
      <w:ind w:left="0" w:firstLine="0" w:firstLineChars="0"/>
      <w:jc w:val="right"/>
    </w:pPr>
  </w:style>
  <w:style w:type="paragraph" w:customStyle="1" w:styleId="134">
    <w:name w:val="Normal Body Text Indent"/>
    <w:basedOn w:val="1"/>
    <w:autoRedefine/>
    <w:qFormat/>
    <w:uiPriority w:val="0"/>
    <w:pPr>
      <w:adjustRightInd w:val="0"/>
      <w:snapToGrid w:val="0"/>
      <w:spacing w:line="264" w:lineRule="auto"/>
      <w:ind w:firstLine="200" w:firstLineChars="200"/>
    </w:pPr>
    <w:rPr>
      <w:rFonts w:ascii="Dutch801 Rm BT" w:hAnsi="Dutch801 Rm BT" w:eastAsia="汉仪书宋一简" w:cs="黑体"/>
      <w:szCs w:val="20"/>
    </w:rPr>
  </w:style>
  <w:style w:type="paragraph" w:customStyle="1" w:styleId="135">
    <w:name w:val="列出段落1"/>
    <w:basedOn w:val="1"/>
    <w:autoRedefine/>
    <w:qFormat/>
    <w:uiPriority w:val="0"/>
    <w:pPr>
      <w:ind w:firstLine="200" w:firstLineChars="200"/>
    </w:pPr>
  </w:style>
  <w:style w:type="paragraph" w:customStyle="1" w:styleId="136">
    <w:name w:val="列表 51"/>
    <w:basedOn w:val="1"/>
    <w:autoRedefine/>
    <w:qFormat/>
    <w:uiPriority w:val="0"/>
    <w:pPr>
      <w:ind w:left="1000" w:leftChars="800" w:hanging="200" w:hangingChars="200"/>
    </w:pPr>
  </w:style>
  <w:style w:type="paragraph" w:customStyle="1" w:styleId="137">
    <w:name w:val="列表接续 31"/>
    <w:basedOn w:val="1"/>
    <w:autoRedefine/>
    <w:qFormat/>
    <w:uiPriority w:val="0"/>
    <w:pPr>
      <w:spacing w:after="120"/>
      <w:ind w:left="600" w:leftChars="600"/>
    </w:pPr>
  </w:style>
  <w:style w:type="paragraph" w:customStyle="1" w:styleId="138">
    <w:name w:val="样式 居中"/>
    <w:basedOn w:val="1"/>
    <w:autoRedefine/>
    <w:qFormat/>
    <w:uiPriority w:val="0"/>
    <w:pPr>
      <w:tabs>
        <w:tab w:val="left" w:pos="1800"/>
      </w:tabs>
      <w:adjustRightInd w:val="0"/>
      <w:snapToGrid w:val="0"/>
      <w:jc w:val="center"/>
    </w:pPr>
  </w:style>
  <w:style w:type="paragraph" w:customStyle="1" w:styleId="139">
    <w:name w:val="Char Char Char Char"/>
    <w:basedOn w:val="1"/>
    <w:autoRedefine/>
    <w:qFormat/>
    <w:uiPriority w:val="0"/>
  </w:style>
  <w:style w:type="paragraph" w:customStyle="1" w:styleId="140">
    <w:name w:val="列表1"/>
    <w:basedOn w:val="1"/>
    <w:autoRedefine/>
    <w:qFormat/>
    <w:uiPriority w:val="0"/>
    <w:pPr>
      <w:ind w:left="200" w:hanging="200" w:hangingChars="200"/>
    </w:pPr>
  </w:style>
  <w:style w:type="paragraph" w:customStyle="1" w:styleId="141">
    <w:name w:val="文本块1"/>
    <w:basedOn w:val="1"/>
    <w:autoRedefine/>
    <w:qFormat/>
    <w:uiPriority w:val="0"/>
    <w:pPr>
      <w:ind w:left="85" w:leftChars="85" w:right="-187" w:rightChars="-187"/>
      <w:jc w:val="center"/>
    </w:pPr>
    <w:rPr>
      <w:rFonts w:eastAsia="长城粗隶书"/>
      <w:b/>
      <w:color w:val="000080"/>
      <w:sz w:val="72"/>
      <w:szCs w:val="20"/>
    </w:rPr>
  </w:style>
  <w:style w:type="paragraph" w:customStyle="1" w:styleId="142">
    <w:name w:val="xl24"/>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Arial Unicode MS" w:eastAsia="Arial Unicode MS"/>
      <w:kern w:val="0"/>
    </w:rPr>
  </w:style>
  <w:style w:type="paragraph" w:customStyle="1" w:styleId="143">
    <w:name w:val="TOC 标题1"/>
    <w:basedOn w:val="3"/>
    <w:next w:val="1"/>
    <w:qFormat/>
    <w:uiPriority w:val="0"/>
    <w:pPr>
      <w:widowControl/>
      <w:spacing w:before="480" w:line="276" w:lineRule="auto"/>
      <w:jc w:val="left"/>
      <w:outlineLvl w:val="9"/>
    </w:pPr>
    <w:rPr>
      <w:rFonts w:ascii="Cambria" w:hAnsi="Cambria"/>
      <w:color w:val="365F91"/>
      <w:sz w:val="28"/>
      <w:szCs w:val="28"/>
    </w:rPr>
  </w:style>
  <w:style w:type="paragraph" w:customStyle="1" w:styleId="144">
    <w:name w:val="列表 41"/>
    <w:basedOn w:val="1"/>
    <w:qFormat/>
    <w:uiPriority w:val="0"/>
    <w:pPr>
      <w:numPr>
        <w:ilvl w:val="0"/>
        <w:numId w:val="8"/>
      </w:numPr>
      <w:ind w:left="800" w:leftChars="600" w:hanging="200" w:hangingChars="200"/>
    </w:pPr>
  </w:style>
  <w:style w:type="paragraph" w:customStyle="1" w:styleId="145">
    <w:name w:val="P5"/>
    <w:qFormat/>
    <w:uiPriority w:val="0"/>
    <w:pPr>
      <w:widowControl w:val="0"/>
      <w:adjustRightInd w:val="0"/>
      <w:spacing w:after="240" w:line="0" w:lineRule="atLeast"/>
      <w:ind w:left="2304"/>
      <w:jc w:val="both"/>
      <w:textAlignment w:val="baseline"/>
    </w:pPr>
    <w:rPr>
      <w:rFonts w:ascii="Times New Roman" w:hAnsi="Times New Roman" w:eastAsia="全真中明體" w:cs="Times New Roman"/>
      <w:spacing w:val="20"/>
      <w:sz w:val="24"/>
      <w:lang w:val="en-US" w:eastAsia="zh-TW" w:bidi="ar-SA"/>
    </w:rPr>
  </w:style>
  <w:style w:type="paragraph" w:customStyle="1" w:styleId="146">
    <w:name w:val="正文文本 211"/>
    <w:basedOn w:val="1"/>
    <w:qFormat/>
    <w:uiPriority w:val="0"/>
    <w:pPr>
      <w:overflowPunct w:val="0"/>
      <w:autoSpaceDE w:val="0"/>
      <w:autoSpaceDN w:val="0"/>
      <w:adjustRightInd w:val="0"/>
      <w:spacing w:line="440" w:lineRule="atLeast"/>
      <w:ind w:firstLine="480"/>
      <w:textAlignment w:val="baseline"/>
    </w:pPr>
    <w:rPr>
      <w:rFonts w:ascii="宋体"/>
      <w:szCs w:val="20"/>
    </w:rPr>
  </w:style>
  <w:style w:type="paragraph" w:customStyle="1" w:styleId="147">
    <w:name w:val="Cover Signature"/>
    <w:basedOn w:val="133"/>
    <w:qFormat/>
    <w:uiPriority w:val="0"/>
    <w:pPr>
      <w:tabs>
        <w:tab w:val="clear" w:pos="2040"/>
      </w:tabs>
    </w:pPr>
    <w:rPr>
      <w:rFonts w:eastAsia="汉仪中宋简"/>
      <w:sz w:val="28"/>
      <w:szCs w:val="28"/>
    </w:rPr>
  </w:style>
  <w:style w:type="paragraph" w:customStyle="1" w:styleId="148">
    <w:name w:val="style10"/>
    <w:basedOn w:val="1"/>
    <w:qFormat/>
    <w:uiPriority w:val="0"/>
    <w:pPr>
      <w:widowControl/>
      <w:spacing w:before="100" w:beforeAutospacing="1" w:after="100" w:afterAutospacing="1"/>
      <w:jc w:val="left"/>
    </w:pPr>
    <w:rPr>
      <w:rFonts w:ascii="宋体" w:cs="Arial Unicode MS"/>
      <w:b/>
      <w:bCs/>
      <w:color w:val="000000"/>
      <w:kern w:val="0"/>
      <w:sz w:val="28"/>
      <w:szCs w:val="28"/>
    </w:rPr>
  </w:style>
  <w:style w:type="paragraph" w:customStyle="1" w:styleId="149">
    <w:name w:val="普通(网站)1"/>
    <w:basedOn w:val="1"/>
    <w:qFormat/>
    <w:uiPriority w:val="0"/>
    <w:pPr>
      <w:widowControl/>
      <w:spacing w:before="100" w:beforeAutospacing="1" w:after="100" w:afterAutospacing="1"/>
      <w:jc w:val="left"/>
    </w:pPr>
    <w:rPr>
      <w:rFonts w:ascii="宋体"/>
      <w:kern w:val="0"/>
    </w:rPr>
  </w:style>
  <w:style w:type="paragraph" w:customStyle="1" w:styleId="150">
    <w:name w:val="列表 21"/>
    <w:basedOn w:val="1"/>
    <w:qFormat/>
    <w:uiPriority w:val="0"/>
    <w:pPr>
      <w:ind w:left="400" w:leftChars="200" w:hanging="200" w:hangingChars="200"/>
    </w:pPr>
  </w:style>
  <w:style w:type="paragraph" w:customStyle="1" w:styleId="151">
    <w:name w:val="引文目录标题1"/>
    <w:basedOn w:val="1"/>
    <w:next w:val="1"/>
    <w:qFormat/>
    <w:uiPriority w:val="0"/>
    <w:pPr>
      <w:numPr>
        <w:ilvl w:val="0"/>
        <w:numId w:val="9"/>
      </w:numPr>
      <w:spacing w:before="120"/>
      <w:ind w:left="0" w:firstLine="0"/>
    </w:pPr>
    <w:rPr>
      <w:rFonts w:ascii="Arial" w:hAnsi="Arial" w:cs="Arial"/>
    </w:rPr>
  </w:style>
  <w:style w:type="paragraph" w:customStyle="1" w:styleId="152">
    <w:name w:val="列表接续 41"/>
    <w:basedOn w:val="1"/>
    <w:qFormat/>
    <w:uiPriority w:val="0"/>
    <w:pPr>
      <w:spacing w:after="120"/>
      <w:ind w:left="800" w:leftChars="800"/>
    </w:pPr>
  </w:style>
  <w:style w:type="paragraph" w:customStyle="1" w:styleId="153">
    <w:name w:val="列表接续 21"/>
    <w:basedOn w:val="1"/>
    <w:qFormat/>
    <w:uiPriority w:val="0"/>
    <w:pPr>
      <w:spacing w:after="120"/>
      <w:ind w:left="400" w:leftChars="400"/>
    </w:pPr>
  </w:style>
  <w:style w:type="paragraph" w:customStyle="1" w:styleId="154">
    <w:name w:val="列表接续1"/>
    <w:basedOn w:val="1"/>
    <w:qFormat/>
    <w:uiPriority w:val="0"/>
    <w:pPr>
      <w:numPr>
        <w:ilvl w:val="0"/>
        <w:numId w:val="10"/>
      </w:numPr>
      <w:spacing w:after="120"/>
      <w:ind w:left="200" w:leftChars="200" w:firstLine="0"/>
    </w:pPr>
  </w:style>
  <w:style w:type="paragraph" w:customStyle="1" w:styleId="155">
    <w:name w:val="列表 31"/>
    <w:basedOn w:val="1"/>
    <w:qFormat/>
    <w:uiPriority w:val="0"/>
    <w:pPr>
      <w:ind w:left="600" w:leftChars="400" w:hanging="200" w:hangingChars="200"/>
    </w:pPr>
  </w:style>
  <w:style w:type="paragraph" w:customStyle="1" w:styleId="156">
    <w:name w:val="插图 Char Char"/>
    <w:basedOn w:val="1"/>
    <w:next w:val="1"/>
    <w:qFormat/>
    <w:uiPriority w:val="0"/>
    <w:pPr>
      <w:widowControl/>
      <w:jc w:val="center"/>
    </w:pPr>
    <w:rPr>
      <w:rFonts w:ascii="宋体" w:cs="宋体"/>
      <w:kern w:val="0"/>
      <w:szCs w:val="18"/>
    </w:rPr>
  </w:style>
  <w:style w:type="paragraph" w:customStyle="1" w:styleId="157">
    <w:name w:val="招标标题二级"/>
    <w:basedOn w:val="51"/>
    <w:qFormat/>
    <w:uiPriority w:val="0"/>
    <w:pPr>
      <w:spacing w:after="100" w:afterAutospacing="1" w:line="500" w:lineRule="exact"/>
      <w:jc w:val="left"/>
    </w:pPr>
    <w:rPr>
      <w:rFonts w:eastAsia="黑体"/>
      <w:color w:val="000080"/>
      <w:spacing w:val="-4"/>
      <w:sz w:val="28"/>
      <w:szCs w:val="28"/>
    </w:rPr>
  </w:style>
  <w:style w:type="paragraph" w:customStyle="1" w:styleId="158">
    <w:name w:val="框图文字"/>
    <w:basedOn w:val="92"/>
    <w:qFormat/>
    <w:uiPriority w:val="0"/>
    <w:pPr>
      <w:adjustRightInd w:val="0"/>
      <w:snapToGrid w:val="0"/>
      <w:jc w:val="center"/>
    </w:pPr>
    <w:rPr>
      <w:rFonts w:eastAsia="华文中宋"/>
    </w:rPr>
  </w:style>
  <w:style w:type="paragraph" w:customStyle="1" w:styleId="159">
    <w:name w:val="正文，首行缩进:"/>
    <w:basedOn w:val="1"/>
    <w:qFormat/>
    <w:uiPriority w:val="0"/>
    <w:pPr>
      <w:spacing w:line="360" w:lineRule="auto"/>
      <w:ind w:firstLine="200" w:firstLineChars="200"/>
      <w:jc w:val="left"/>
    </w:pPr>
    <w:rPr>
      <w:rFonts w:ascii="宋体" w:cs="Arial"/>
    </w:rPr>
  </w:style>
  <w:style w:type="character" w:customStyle="1" w:styleId="160">
    <w:name w:val="正文首行缩进 2 Char"/>
    <w:link w:val="53"/>
    <w:qFormat/>
    <w:uiPriority w:val="0"/>
    <w:rPr>
      <w:rFonts w:ascii="宋体" w:hAnsi="宋体" w:cs="Arial"/>
      <w:snapToGrid w:val="0"/>
      <w:spacing w:val="-6"/>
      <w:sz w:val="28"/>
      <w:szCs w:val="21"/>
    </w:rPr>
  </w:style>
  <w:style w:type="paragraph" w:customStyle="1" w:styleId="161">
    <w:name w:val="样式4"/>
    <w:basedOn w:val="1"/>
    <w:qFormat/>
    <w:uiPriority w:val="0"/>
    <w:pPr>
      <w:snapToGrid w:val="0"/>
      <w:spacing w:line="540" w:lineRule="atLeast"/>
      <w:ind w:firstLine="567"/>
    </w:pPr>
    <w:rPr>
      <w:rFonts w:ascii="黑体" w:eastAsia="黑体"/>
      <w:kern w:val="0"/>
      <w:sz w:val="28"/>
      <w:szCs w:val="20"/>
    </w:rPr>
  </w:style>
  <w:style w:type="paragraph" w:customStyle="1" w:styleId="162">
    <w:name w:val="正文样式"/>
    <w:basedOn w:val="1"/>
    <w:qFormat/>
    <w:uiPriority w:val="0"/>
    <w:pPr>
      <w:spacing w:line="460" w:lineRule="atLeast"/>
      <w:ind w:firstLine="525" w:firstLineChars="218"/>
    </w:pPr>
    <w:rPr>
      <w:rFonts w:ascii="宋体" w:hAnsi="宋体"/>
      <w:b/>
      <w:bCs/>
      <w:szCs w:val="20"/>
    </w:rPr>
  </w:style>
  <w:style w:type="paragraph" w:customStyle="1" w:styleId="163">
    <w:name w:val="施工方案正文"/>
    <w:basedOn w:val="27"/>
    <w:qFormat/>
    <w:uiPriority w:val="0"/>
    <w:pPr>
      <w:ind w:firstLine="668"/>
    </w:pPr>
    <w:rPr>
      <w:kern w:val="0"/>
    </w:rPr>
  </w:style>
  <w:style w:type="paragraph" w:customStyle="1" w:styleId="164">
    <w:name w:val="样式6"/>
    <w:basedOn w:val="3"/>
    <w:link w:val="165"/>
    <w:qFormat/>
    <w:uiPriority w:val="0"/>
    <w:pPr>
      <w:keepNext w:val="0"/>
      <w:keepLines w:val="0"/>
      <w:spacing w:after="100" w:afterAutospacing="1" w:line="240" w:lineRule="auto"/>
      <w:ind w:firstLine="141" w:firstLineChars="44"/>
    </w:pPr>
    <w:rPr>
      <w:rFonts w:ascii="Arial" w:hAnsi="Arial"/>
      <w:bCs w:val="0"/>
      <w:kern w:val="24"/>
      <w:sz w:val="32"/>
      <w:szCs w:val="32"/>
    </w:rPr>
  </w:style>
  <w:style w:type="character" w:customStyle="1" w:styleId="165">
    <w:name w:val="样式6 Char"/>
    <w:link w:val="164"/>
    <w:qFormat/>
    <w:uiPriority w:val="0"/>
    <w:rPr>
      <w:rFonts w:ascii="Arial" w:hAnsi="Arial"/>
      <w:b/>
      <w:kern w:val="24"/>
      <w:sz w:val="32"/>
      <w:szCs w:val="32"/>
    </w:rPr>
  </w:style>
  <w:style w:type="paragraph" w:customStyle="1" w:styleId="166">
    <w:name w:val="样式7"/>
    <w:basedOn w:val="1"/>
    <w:link w:val="167"/>
    <w:qFormat/>
    <w:uiPriority w:val="0"/>
    <w:pPr>
      <w:numPr>
        <w:ilvl w:val="0"/>
        <w:numId w:val="11"/>
      </w:numPr>
      <w:spacing w:beforeLines="50" w:afterLines="100"/>
    </w:pPr>
    <w:rPr>
      <w:sz w:val="28"/>
      <w:szCs w:val="30"/>
    </w:rPr>
  </w:style>
  <w:style w:type="character" w:customStyle="1" w:styleId="167">
    <w:name w:val="样式7 Char"/>
    <w:link w:val="166"/>
    <w:qFormat/>
    <w:uiPriority w:val="0"/>
    <w:rPr>
      <w:kern w:val="2"/>
      <w:sz w:val="28"/>
      <w:szCs w:val="30"/>
    </w:rPr>
  </w:style>
  <w:style w:type="paragraph" w:customStyle="1" w:styleId="1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9">
    <w:name w:val="附表"/>
    <w:basedOn w:val="15"/>
    <w:qFormat/>
    <w:uiPriority w:val="0"/>
    <w:pPr>
      <w:pageBreakBefore/>
      <w:spacing w:line="440" w:lineRule="exact"/>
      <w:ind w:firstLine="200"/>
    </w:pPr>
    <w:rPr>
      <w:rFonts w:ascii="宋体" w:hAnsi="宋体"/>
      <w:snapToGrid w:val="0"/>
    </w:rPr>
  </w:style>
  <w:style w:type="paragraph" w:customStyle="1" w:styleId="170">
    <w:name w:val="标书正文"/>
    <w:basedOn w:val="1"/>
    <w:qFormat/>
    <w:uiPriority w:val="0"/>
    <w:pPr>
      <w:spacing w:line="360" w:lineRule="auto"/>
      <w:ind w:firstLine="480" w:firstLineChars="200"/>
      <w:jc w:val="left"/>
    </w:pPr>
    <w:rPr>
      <w:rFonts w:ascii="楷体_GB2312" w:hAnsi="宋体" w:eastAsia="楷体_GB2312"/>
      <w:bCs/>
    </w:rPr>
  </w:style>
  <w:style w:type="paragraph" w:customStyle="1" w:styleId="171">
    <w:name w:val="列出段落2"/>
    <w:basedOn w:val="1"/>
    <w:link w:val="248"/>
    <w:qFormat/>
    <w:uiPriority w:val="0"/>
    <w:pPr>
      <w:ind w:firstLine="420" w:firstLineChars="200"/>
    </w:pPr>
  </w:style>
  <w:style w:type="paragraph" w:customStyle="1" w:styleId="172">
    <w:name w:val="段落1"/>
    <w:basedOn w:val="22"/>
    <w:next w:val="22"/>
    <w:qFormat/>
    <w:uiPriority w:val="0"/>
    <w:pPr>
      <w:ind w:firstLine="560"/>
    </w:pPr>
    <w:rPr>
      <w:rFonts w:ascii="宋体" w:hAnsi="宋体"/>
      <w:bCs/>
      <w:snapToGrid w:val="0"/>
      <w:kern w:val="28"/>
    </w:rPr>
  </w:style>
  <w:style w:type="paragraph" w:customStyle="1" w:styleId="173">
    <w:name w:val="reader-word-layer"/>
    <w:basedOn w:val="1"/>
    <w:qFormat/>
    <w:uiPriority w:val="0"/>
    <w:pPr>
      <w:widowControl/>
      <w:spacing w:before="100" w:beforeAutospacing="1" w:after="100" w:afterAutospacing="1"/>
      <w:jc w:val="left"/>
    </w:pPr>
    <w:rPr>
      <w:rFonts w:ascii="宋体" w:hAnsi="宋体" w:cs="宋体"/>
      <w:kern w:val="0"/>
    </w:rPr>
  </w:style>
  <w:style w:type="character" w:customStyle="1" w:styleId="174">
    <w:name w:val="正文首行缩进 Char"/>
    <w:link w:val="52"/>
    <w:qFormat/>
    <w:uiPriority w:val="0"/>
    <w:rPr>
      <w:rFonts w:ascii="仿宋_GB2312" w:eastAsia="仿宋_GB2312"/>
      <w:kern w:val="2"/>
      <w:sz w:val="24"/>
      <w:szCs w:val="24"/>
    </w:rPr>
  </w:style>
  <w:style w:type="paragraph" w:customStyle="1" w:styleId="175">
    <w:name w:val="单倍居中"/>
    <w:basedOn w:val="1"/>
    <w:qFormat/>
    <w:uiPriority w:val="0"/>
    <w:pPr>
      <w:widowControl/>
      <w:jc w:val="center"/>
    </w:pPr>
  </w:style>
  <w:style w:type="paragraph" w:customStyle="1" w:styleId="176">
    <w:name w:val="表格左起"/>
    <w:basedOn w:val="177"/>
    <w:link w:val="179"/>
    <w:qFormat/>
    <w:uiPriority w:val="0"/>
    <w:pPr>
      <w:ind w:firstLine="200" w:firstLineChars="200"/>
      <w:jc w:val="left"/>
    </w:pPr>
  </w:style>
  <w:style w:type="paragraph" w:customStyle="1" w:styleId="177">
    <w:name w:val="表格居中"/>
    <w:basedOn w:val="1"/>
    <w:link w:val="178"/>
    <w:qFormat/>
    <w:uiPriority w:val="0"/>
    <w:pPr>
      <w:snapToGrid w:val="0"/>
      <w:spacing w:line="360" w:lineRule="auto"/>
      <w:jc w:val="center"/>
    </w:pPr>
    <w:rPr>
      <w:kern w:val="0"/>
    </w:rPr>
  </w:style>
  <w:style w:type="character" w:customStyle="1" w:styleId="178">
    <w:name w:val="表格居中 Char Char"/>
    <w:link w:val="177"/>
    <w:qFormat/>
    <w:uiPriority w:val="0"/>
    <w:rPr>
      <w:sz w:val="24"/>
      <w:szCs w:val="24"/>
      <w:lang w:val="en-US" w:eastAsia="zh-CN"/>
    </w:rPr>
  </w:style>
  <w:style w:type="character" w:customStyle="1" w:styleId="179">
    <w:name w:val="表格左起 Char Char"/>
    <w:link w:val="176"/>
    <w:qFormat/>
    <w:uiPriority w:val="0"/>
    <w:rPr>
      <w:sz w:val="24"/>
      <w:szCs w:val="24"/>
      <w:lang w:val="en-US" w:eastAsia="zh-CN"/>
    </w:rPr>
  </w:style>
  <w:style w:type="paragraph" w:customStyle="1" w:styleId="180">
    <w:name w:val="图片居中"/>
    <w:next w:val="1"/>
    <w:link w:val="181"/>
    <w:qFormat/>
    <w:uiPriority w:val="0"/>
    <w:pPr>
      <w:spacing w:line="360" w:lineRule="auto"/>
      <w:jc w:val="center"/>
    </w:pPr>
    <w:rPr>
      <w:rFonts w:ascii="Times New Roman" w:hAnsi="Times New Roman" w:eastAsia="宋体" w:cs="Times New Roman"/>
      <w:kern w:val="2"/>
      <w:sz w:val="24"/>
      <w:szCs w:val="24"/>
      <w:lang w:val="en-US" w:eastAsia="zh-CN" w:bidi="ar-SA"/>
    </w:rPr>
  </w:style>
  <w:style w:type="character" w:customStyle="1" w:styleId="181">
    <w:name w:val="图片居中 Char Char"/>
    <w:link w:val="180"/>
    <w:qFormat/>
    <w:uiPriority w:val="0"/>
    <w:rPr>
      <w:kern w:val="2"/>
      <w:sz w:val="24"/>
      <w:szCs w:val="24"/>
      <w:lang w:val="en-US" w:eastAsia="zh-CN" w:bidi="ar-SA"/>
    </w:rPr>
  </w:style>
  <w:style w:type="paragraph" w:customStyle="1" w:styleId="182">
    <w:name w:val="修改"/>
    <w:link w:val="183"/>
    <w:qFormat/>
    <w:uiPriority w:val="0"/>
    <w:pPr>
      <w:spacing w:line="360" w:lineRule="auto"/>
    </w:pPr>
    <w:rPr>
      <w:rFonts w:ascii="Times New Roman" w:hAnsi="Times New Roman" w:eastAsia="宋体" w:cs="Times New Roman"/>
      <w:color w:val="FF0000"/>
      <w:kern w:val="2"/>
      <w:sz w:val="24"/>
      <w:szCs w:val="21"/>
      <w:lang w:val="en-US" w:eastAsia="zh-CN" w:bidi="ar-SA"/>
    </w:rPr>
  </w:style>
  <w:style w:type="character" w:customStyle="1" w:styleId="183">
    <w:name w:val="修改 Char"/>
    <w:link w:val="182"/>
    <w:qFormat/>
    <w:uiPriority w:val="0"/>
    <w:rPr>
      <w:color w:val="FF0000"/>
      <w:kern w:val="2"/>
      <w:sz w:val="24"/>
      <w:szCs w:val="21"/>
      <w:lang w:val="en-US" w:eastAsia="zh-CN" w:bidi="ar-SA"/>
    </w:rPr>
  </w:style>
  <w:style w:type="paragraph" w:customStyle="1" w:styleId="184">
    <w:name w:val="_Style 17"/>
    <w:basedOn w:val="1"/>
    <w:qFormat/>
    <w:uiPriority w:val="0"/>
    <w:pPr>
      <w:spacing w:line="360" w:lineRule="auto"/>
    </w:pPr>
    <w:rPr>
      <w:spacing w:val="8"/>
      <w:sz w:val="28"/>
      <w:szCs w:val="20"/>
    </w:rPr>
  </w:style>
  <w:style w:type="paragraph" w:customStyle="1" w:styleId="185">
    <w:name w:val="样式 正文文本缩进 + 左侧:  -0.62 字符 首行缩进:  2 字符"/>
    <w:basedOn w:val="23"/>
    <w:qFormat/>
    <w:uiPriority w:val="0"/>
    <w:rPr>
      <w:rFonts w:cs="宋体"/>
      <w:szCs w:val="20"/>
    </w:rPr>
  </w:style>
  <w:style w:type="paragraph" w:customStyle="1" w:styleId="186">
    <w:name w:val="样式 方案正文 + 四号 首行缩进:  2 字符"/>
    <w:basedOn w:val="84"/>
    <w:qFormat/>
    <w:uiPriority w:val="0"/>
    <w:pPr>
      <w:spacing w:line="480" w:lineRule="exact"/>
      <w:ind w:firstLine="200"/>
    </w:pPr>
    <w:rPr>
      <w:rFonts w:cs="宋体"/>
      <w:szCs w:val="20"/>
    </w:rPr>
  </w:style>
  <w:style w:type="paragraph" w:customStyle="1" w:styleId="187">
    <w:name w:val="样式 方案正文 + 四号 首行缩进:  2 字符1"/>
    <w:basedOn w:val="84"/>
    <w:qFormat/>
    <w:uiPriority w:val="0"/>
    <w:pPr>
      <w:ind w:firstLine="200"/>
    </w:pPr>
    <w:rPr>
      <w:rFonts w:cs="宋体"/>
      <w:szCs w:val="20"/>
    </w:rPr>
  </w:style>
  <w:style w:type="paragraph" w:customStyle="1" w:styleId="188">
    <w:name w:val="样式 方案正文 + 四号 首行缩进:  2 字符2"/>
    <w:basedOn w:val="84"/>
    <w:qFormat/>
    <w:uiPriority w:val="0"/>
    <w:pPr>
      <w:ind w:firstLine="668"/>
    </w:pPr>
    <w:rPr>
      <w:rFonts w:cs="宋体"/>
      <w:szCs w:val="20"/>
    </w:rPr>
  </w:style>
  <w:style w:type="paragraph" w:customStyle="1" w:styleId="189">
    <w:name w:val="样式 方案正文 + 四号 首行缩进:  2 字符3"/>
    <w:basedOn w:val="84"/>
    <w:qFormat/>
    <w:uiPriority w:val="0"/>
    <w:pPr>
      <w:ind w:firstLine="668"/>
    </w:pPr>
    <w:rPr>
      <w:rFonts w:cs="宋体"/>
      <w:szCs w:val="20"/>
    </w:rPr>
  </w:style>
  <w:style w:type="paragraph" w:customStyle="1" w:styleId="190">
    <w:name w:val="样式 方案正文 + 四号 首行缩进:  2 字符4"/>
    <w:basedOn w:val="84"/>
    <w:qFormat/>
    <w:uiPriority w:val="0"/>
    <w:pPr>
      <w:ind w:firstLine="668"/>
    </w:pPr>
    <w:rPr>
      <w:rFonts w:cs="宋体"/>
      <w:szCs w:val="20"/>
    </w:rPr>
  </w:style>
  <w:style w:type="paragraph" w:customStyle="1" w:styleId="191">
    <w:name w:val="样式 方案正文 + 四号 首行缩进:  2 字符5"/>
    <w:basedOn w:val="84"/>
    <w:qFormat/>
    <w:uiPriority w:val="0"/>
    <w:pPr>
      <w:ind w:firstLine="668"/>
    </w:pPr>
    <w:rPr>
      <w:rFonts w:cs="宋体"/>
      <w:szCs w:val="20"/>
    </w:rPr>
  </w:style>
  <w:style w:type="paragraph" w:customStyle="1" w:styleId="192">
    <w:name w:val="样式 方案正文 + 首行缩进:  2 字符"/>
    <w:basedOn w:val="84"/>
    <w:qFormat/>
    <w:uiPriority w:val="0"/>
    <w:pPr>
      <w:ind w:firstLine="588"/>
    </w:pPr>
    <w:rPr>
      <w:rFonts w:cs="宋体"/>
      <w:szCs w:val="20"/>
    </w:rPr>
  </w:style>
  <w:style w:type="paragraph" w:customStyle="1" w:styleId="193">
    <w:name w:val="样式 方案正文 + 四号 首行缩进:  2 字符6"/>
    <w:basedOn w:val="84"/>
    <w:qFormat/>
    <w:uiPriority w:val="0"/>
    <w:pPr>
      <w:ind w:firstLine="668"/>
    </w:pPr>
    <w:rPr>
      <w:rFonts w:cs="宋体"/>
      <w:szCs w:val="20"/>
    </w:rPr>
  </w:style>
  <w:style w:type="paragraph" w:customStyle="1" w:styleId="194">
    <w:name w:val="样式 方案正文 + 四号 首行缩进:  2 字符7"/>
    <w:basedOn w:val="84"/>
    <w:qFormat/>
    <w:uiPriority w:val="0"/>
    <w:pPr>
      <w:ind w:firstLine="668"/>
    </w:pPr>
    <w:rPr>
      <w:rFonts w:cs="宋体"/>
      <w:szCs w:val="20"/>
    </w:rPr>
  </w:style>
  <w:style w:type="paragraph" w:customStyle="1" w:styleId="195">
    <w:name w:val="样式 方案正文 + 四号 首行缩进:  2 字符8"/>
    <w:basedOn w:val="84"/>
    <w:qFormat/>
    <w:uiPriority w:val="0"/>
    <w:pPr>
      <w:ind w:firstLine="668"/>
    </w:pPr>
    <w:rPr>
      <w:rFonts w:cs="宋体"/>
      <w:szCs w:val="20"/>
    </w:rPr>
  </w:style>
  <w:style w:type="paragraph" w:customStyle="1" w:styleId="196">
    <w:name w:val="样式 样式 方案正文 + 四号 首行缩进:  2 字符8 + 首行缩进:  2 字符"/>
    <w:basedOn w:val="195"/>
    <w:qFormat/>
    <w:uiPriority w:val="0"/>
    <w:pPr>
      <w:ind w:firstLine="588"/>
    </w:pPr>
  </w:style>
  <w:style w:type="paragraph" w:customStyle="1" w:styleId="197">
    <w:name w:val="样式 四号 首行缩进:  2.5 字符"/>
    <w:basedOn w:val="1"/>
    <w:qFormat/>
    <w:uiPriority w:val="0"/>
    <w:pPr>
      <w:ind w:firstLine="835" w:firstLineChars="250"/>
    </w:pPr>
    <w:rPr>
      <w:rFonts w:cs="宋体"/>
      <w:szCs w:val="20"/>
    </w:rPr>
  </w:style>
  <w:style w:type="paragraph" w:customStyle="1" w:styleId="198">
    <w:name w:val="样式 四号 首行缩进:  2 字符"/>
    <w:basedOn w:val="1"/>
    <w:qFormat/>
    <w:uiPriority w:val="0"/>
    <w:pPr>
      <w:ind w:firstLine="668" w:firstLineChars="200"/>
    </w:pPr>
    <w:rPr>
      <w:rFonts w:cs="宋体"/>
      <w:szCs w:val="20"/>
    </w:rPr>
  </w:style>
  <w:style w:type="character" w:customStyle="1" w:styleId="199">
    <w:name w:val="样式 四号"/>
    <w:qFormat/>
    <w:uiPriority w:val="0"/>
    <w:rPr>
      <w:sz w:val="24"/>
    </w:rPr>
  </w:style>
  <w:style w:type="character" w:customStyle="1" w:styleId="200">
    <w:name w:val="样式 四号1"/>
    <w:qFormat/>
    <w:uiPriority w:val="0"/>
    <w:rPr>
      <w:sz w:val="24"/>
    </w:rPr>
  </w:style>
  <w:style w:type="character" w:customStyle="1" w:styleId="201">
    <w:name w:val="样式 四号2"/>
    <w:qFormat/>
    <w:uiPriority w:val="0"/>
    <w:rPr>
      <w:sz w:val="24"/>
    </w:rPr>
  </w:style>
  <w:style w:type="paragraph" w:customStyle="1" w:styleId="202">
    <w:name w:val="样式 四号 首行缩进:  1.5 字符"/>
    <w:basedOn w:val="1"/>
    <w:qFormat/>
    <w:uiPriority w:val="0"/>
    <w:pPr>
      <w:ind w:firstLine="501" w:firstLineChars="150"/>
    </w:pPr>
    <w:rPr>
      <w:rFonts w:cs="宋体"/>
      <w:szCs w:val="20"/>
    </w:rPr>
  </w:style>
  <w:style w:type="paragraph" w:customStyle="1" w:styleId="203">
    <w:name w:val="样式 四号 首行缩进:  1 字符"/>
    <w:basedOn w:val="1"/>
    <w:qFormat/>
    <w:uiPriority w:val="0"/>
    <w:pPr>
      <w:ind w:firstLine="334" w:firstLineChars="100"/>
    </w:pPr>
    <w:rPr>
      <w:rFonts w:cs="宋体"/>
      <w:szCs w:val="20"/>
    </w:rPr>
  </w:style>
  <w:style w:type="character" w:customStyle="1" w:styleId="204">
    <w:name w:val="样式 宋体 四号 字距调整八号"/>
    <w:qFormat/>
    <w:uiPriority w:val="0"/>
    <w:rPr>
      <w:rFonts w:ascii="宋体" w:hAnsi="宋体"/>
      <w:kern w:val="10"/>
      <w:sz w:val="24"/>
    </w:rPr>
  </w:style>
  <w:style w:type="paragraph" w:customStyle="1" w:styleId="205">
    <w:name w:val="样式 宋体 四号 左 字距调整八号 左  0.5 字符 首行缩进:  2 字符"/>
    <w:basedOn w:val="1"/>
    <w:qFormat/>
    <w:uiPriority w:val="0"/>
    <w:pPr>
      <w:ind w:left="132" w:leftChars="50" w:firstLine="668" w:firstLineChars="200"/>
      <w:jc w:val="left"/>
    </w:pPr>
    <w:rPr>
      <w:rFonts w:ascii="宋体" w:hAnsi="宋体" w:cs="宋体"/>
      <w:kern w:val="10"/>
      <w:szCs w:val="20"/>
    </w:rPr>
  </w:style>
  <w:style w:type="paragraph" w:customStyle="1" w:styleId="206">
    <w:name w:val="样式 页脚 + 宋体 四号 行距: 固定值 20 磅"/>
    <w:basedOn w:val="34"/>
    <w:qFormat/>
    <w:uiPriority w:val="0"/>
    <w:pPr>
      <w:spacing w:line="400" w:lineRule="exact"/>
    </w:pPr>
    <w:rPr>
      <w:rFonts w:ascii="宋体" w:hAnsi="宋体" w:cs="宋体"/>
      <w:sz w:val="24"/>
      <w:szCs w:val="20"/>
    </w:rPr>
  </w:style>
  <w:style w:type="paragraph" w:customStyle="1" w:styleId="207">
    <w:name w:val="样式 方案正文 + 四号 首行缩进:  2 字符9"/>
    <w:basedOn w:val="84"/>
    <w:qFormat/>
    <w:uiPriority w:val="0"/>
    <w:pPr>
      <w:ind w:firstLine="668"/>
    </w:pPr>
    <w:rPr>
      <w:rFonts w:cs="宋体"/>
      <w:kern w:val="2"/>
      <w:szCs w:val="20"/>
    </w:rPr>
  </w:style>
  <w:style w:type="paragraph" w:customStyle="1" w:styleId="208">
    <w:name w:val="样式 方案正文 + 四号"/>
    <w:basedOn w:val="84"/>
    <w:qFormat/>
    <w:uiPriority w:val="0"/>
  </w:style>
  <w:style w:type="paragraph" w:customStyle="1" w:styleId="209">
    <w:name w:val="样式 方案正文 + 四号1"/>
    <w:basedOn w:val="84"/>
    <w:qFormat/>
    <w:uiPriority w:val="0"/>
    <w:rPr>
      <w:kern w:val="2"/>
    </w:rPr>
  </w:style>
  <w:style w:type="character" w:customStyle="1" w:styleId="210">
    <w:name w:val="样式 宋体 四号 紧缩量  0.3 磅"/>
    <w:qFormat/>
    <w:uiPriority w:val="0"/>
    <w:rPr>
      <w:rFonts w:ascii="宋体" w:hAnsi="宋体"/>
      <w:spacing w:val="-6"/>
      <w:kern w:val="0"/>
      <w:sz w:val="24"/>
    </w:rPr>
  </w:style>
  <w:style w:type="paragraph" w:customStyle="1" w:styleId="211">
    <w:name w:val="样式 宋体 四号 首行缩进:  1.01 厘米 紧缩量  0.3 磅 行距: 固定值 28 磅"/>
    <w:basedOn w:val="1"/>
    <w:qFormat/>
    <w:uiPriority w:val="0"/>
    <w:pPr>
      <w:spacing w:line="560" w:lineRule="exact"/>
      <w:ind w:firstLine="570"/>
    </w:pPr>
    <w:rPr>
      <w:rFonts w:ascii="宋体" w:hAnsi="宋体" w:cs="宋体"/>
      <w:spacing w:val="-6"/>
      <w:szCs w:val="20"/>
    </w:rPr>
  </w:style>
  <w:style w:type="paragraph" w:customStyle="1" w:styleId="212">
    <w:name w:val="样式 宋体 四号 紧缩量  0.3 磅 行距: 固定值 28 磅 首行缩进:  2 字符"/>
    <w:basedOn w:val="1"/>
    <w:qFormat/>
    <w:uiPriority w:val="0"/>
    <w:pPr>
      <w:spacing w:line="560" w:lineRule="exact"/>
      <w:ind w:firstLine="644" w:firstLineChars="200"/>
    </w:pPr>
    <w:rPr>
      <w:rFonts w:ascii="宋体" w:hAnsi="宋体" w:cs="宋体"/>
      <w:spacing w:val="-6"/>
      <w:szCs w:val="20"/>
    </w:rPr>
  </w:style>
  <w:style w:type="paragraph" w:customStyle="1" w:styleId="213">
    <w:name w:val="样式 三号 首行缩进:  2 字符"/>
    <w:basedOn w:val="1"/>
    <w:qFormat/>
    <w:uiPriority w:val="0"/>
    <w:pPr>
      <w:ind w:firstLine="748" w:firstLineChars="200"/>
    </w:pPr>
    <w:rPr>
      <w:rFonts w:cs="宋体"/>
      <w:szCs w:val="20"/>
    </w:rPr>
  </w:style>
  <w:style w:type="paragraph" w:customStyle="1" w:styleId="214">
    <w:name w:val="样式 四号 首行缩进:  3 字符"/>
    <w:basedOn w:val="1"/>
    <w:qFormat/>
    <w:uiPriority w:val="0"/>
    <w:pPr>
      <w:ind w:firstLine="1002" w:firstLineChars="300"/>
    </w:pPr>
    <w:rPr>
      <w:rFonts w:cs="宋体"/>
      <w:szCs w:val="20"/>
    </w:rPr>
  </w:style>
  <w:style w:type="paragraph" w:customStyle="1" w:styleId="215">
    <w:name w:val="样式 宋体 四号 居中 段前: 10 磅 段后: 5 磅 行距: 固定值 20 磅"/>
    <w:basedOn w:val="1"/>
    <w:qFormat/>
    <w:uiPriority w:val="0"/>
    <w:pPr>
      <w:spacing w:before="200" w:after="100" w:line="400" w:lineRule="exact"/>
      <w:jc w:val="center"/>
    </w:pPr>
    <w:rPr>
      <w:rFonts w:ascii="宋体" w:hAnsi="宋体" w:cs="宋体"/>
      <w:szCs w:val="20"/>
    </w:rPr>
  </w:style>
  <w:style w:type="paragraph" w:customStyle="1" w:styleId="216">
    <w:name w:val="样式 纯文本普通文字 + 自动设置 首行缩进:  2 字符"/>
    <w:basedOn w:val="27"/>
    <w:qFormat/>
    <w:uiPriority w:val="0"/>
    <w:pPr>
      <w:ind w:firstLine="668"/>
    </w:pPr>
    <w:rPr>
      <w:rFonts w:cs="宋体"/>
      <w:color w:val="auto"/>
      <w:szCs w:val="20"/>
    </w:rPr>
  </w:style>
  <w:style w:type="paragraph" w:customStyle="1" w:styleId="217">
    <w:name w:val="样式 纯文本普通文字 + 自动设置 首行缩进:  2 字符1"/>
    <w:basedOn w:val="27"/>
    <w:qFormat/>
    <w:uiPriority w:val="0"/>
    <w:rPr>
      <w:rFonts w:cs="宋体"/>
      <w:color w:val="auto"/>
      <w:szCs w:val="20"/>
    </w:rPr>
  </w:style>
  <w:style w:type="paragraph" w:customStyle="1" w:styleId="218">
    <w:name w:val="样式 纯文本普通文字 + 自动设置 首行缩进:  2 字符2"/>
    <w:basedOn w:val="27"/>
    <w:qFormat/>
    <w:uiPriority w:val="0"/>
    <w:rPr>
      <w:rFonts w:cs="宋体"/>
      <w:color w:val="auto"/>
      <w:szCs w:val="20"/>
    </w:rPr>
  </w:style>
  <w:style w:type="character" w:customStyle="1" w:styleId="219">
    <w:name w:val="样式 (符号) 宋体 四号 加粗 紧缩量  0.3 磅"/>
    <w:qFormat/>
    <w:uiPriority w:val="0"/>
    <w:rPr>
      <w:b/>
      <w:bCs/>
      <w:spacing w:val="-6"/>
      <w:sz w:val="24"/>
    </w:rPr>
  </w:style>
  <w:style w:type="character" w:customStyle="1" w:styleId="220">
    <w:name w:val="样式 宋体 四号 紧缩量  0.3 磅1"/>
    <w:qFormat/>
    <w:uiPriority w:val="0"/>
    <w:rPr>
      <w:rFonts w:ascii="宋体" w:hAnsi="宋体"/>
      <w:spacing w:val="-6"/>
      <w:sz w:val="24"/>
    </w:rPr>
  </w:style>
  <w:style w:type="character" w:customStyle="1" w:styleId="221">
    <w:name w:val="样式 四号 加粗"/>
    <w:qFormat/>
    <w:uiPriority w:val="0"/>
    <w:rPr>
      <w:b/>
      <w:bCs/>
      <w:kern w:val="0"/>
      <w:sz w:val="24"/>
    </w:rPr>
  </w:style>
  <w:style w:type="character" w:customStyle="1" w:styleId="222">
    <w:name w:val="样式 四号3"/>
    <w:qFormat/>
    <w:uiPriority w:val="0"/>
    <w:rPr>
      <w:kern w:val="0"/>
      <w:sz w:val="24"/>
    </w:rPr>
  </w:style>
  <w:style w:type="paragraph" w:customStyle="1" w:styleId="223">
    <w:name w:val="样式 宋体 四号 首行缩进:  1.11 厘米 紧缩量  0.3 磅 行距: 固定值 28 磅"/>
    <w:basedOn w:val="1"/>
    <w:qFormat/>
    <w:uiPriority w:val="0"/>
    <w:pPr>
      <w:ind w:firstLine="629"/>
    </w:pPr>
    <w:rPr>
      <w:rFonts w:ascii="宋体" w:hAnsi="宋体" w:cs="宋体"/>
      <w:spacing w:val="-6"/>
      <w:szCs w:val="20"/>
    </w:rPr>
  </w:style>
  <w:style w:type="paragraph" w:customStyle="1" w:styleId="224">
    <w:name w:val="样式 宋体 四号 紧缩量  0.3 磅 行距: 固定值 28 磅"/>
    <w:basedOn w:val="1"/>
    <w:qFormat/>
    <w:uiPriority w:val="0"/>
    <w:rPr>
      <w:rFonts w:ascii="宋体" w:hAnsi="宋体" w:cs="宋体"/>
      <w:spacing w:val="-6"/>
      <w:szCs w:val="20"/>
    </w:rPr>
  </w:style>
  <w:style w:type="paragraph" w:customStyle="1" w:styleId="225">
    <w:name w:val="样式 宋体 四号 紧缩量  0.3 磅 行距: 固定值 28 磅 首行缩进:  2 字符1"/>
    <w:basedOn w:val="1"/>
    <w:qFormat/>
    <w:uiPriority w:val="0"/>
    <w:pPr>
      <w:ind w:firstLine="200" w:firstLineChars="200"/>
    </w:pPr>
    <w:rPr>
      <w:rFonts w:ascii="宋体" w:cs="宋体"/>
      <w:spacing w:val="-6"/>
      <w:szCs w:val="20"/>
    </w:rPr>
  </w:style>
  <w:style w:type="paragraph" w:customStyle="1" w:styleId="226">
    <w:name w:val="样式 宋体 四号 紧缩量  0.3 磅 行距: 固定值 28 磅1"/>
    <w:basedOn w:val="1"/>
    <w:qFormat/>
    <w:uiPriority w:val="0"/>
    <w:rPr>
      <w:rFonts w:ascii="宋体" w:cs="宋体"/>
      <w:spacing w:val="-6"/>
      <w:szCs w:val="20"/>
    </w:rPr>
  </w:style>
  <w:style w:type="paragraph" w:customStyle="1" w:styleId="227">
    <w:name w:val="样式 宋体 四号 紧缩量  0.5 磅 行距: 固定值 28 磅 首行缩进:  2 字符"/>
    <w:basedOn w:val="1"/>
    <w:qFormat/>
    <w:uiPriority w:val="0"/>
    <w:pPr>
      <w:ind w:firstLine="200" w:firstLineChars="200"/>
    </w:pPr>
    <w:rPr>
      <w:rFonts w:ascii="宋体" w:cs="宋体"/>
      <w:spacing w:val="-10"/>
      <w:szCs w:val="20"/>
    </w:rPr>
  </w:style>
  <w:style w:type="character" w:customStyle="1" w:styleId="228">
    <w:name w:val="样式 宋体 四号 紧缩量  0.3 磅2"/>
    <w:qFormat/>
    <w:uiPriority w:val="0"/>
    <w:rPr>
      <w:rFonts w:ascii="宋体" w:hAnsi="宋体"/>
      <w:spacing w:val="-6"/>
      <w:sz w:val="24"/>
    </w:rPr>
  </w:style>
  <w:style w:type="paragraph" w:customStyle="1" w:styleId="229">
    <w:name w:val="样式 宋体 四号 首行缩进:  0.95 厘米 紧缩量  0.3 磅 行距: 固定值 28 磅"/>
    <w:basedOn w:val="1"/>
    <w:qFormat/>
    <w:uiPriority w:val="0"/>
    <w:pPr>
      <w:ind w:firstLine="539"/>
    </w:pPr>
    <w:rPr>
      <w:rFonts w:ascii="宋体" w:hAnsi="宋体" w:cs="宋体"/>
      <w:spacing w:val="-6"/>
      <w:szCs w:val="20"/>
    </w:rPr>
  </w:style>
  <w:style w:type="paragraph" w:customStyle="1" w:styleId="230">
    <w:name w:val="样式 宋体 (符号) ISOCP 四号 左 首行缩进:  2 字符"/>
    <w:basedOn w:val="1"/>
    <w:qFormat/>
    <w:uiPriority w:val="0"/>
    <w:pPr>
      <w:ind w:firstLine="200" w:firstLineChars="200"/>
      <w:jc w:val="left"/>
    </w:pPr>
    <w:rPr>
      <w:rFonts w:ascii="宋体" w:hAnsi="ISOCP" w:cs="宋体"/>
      <w:kern w:val="0"/>
      <w:szCs w:val="20"/>
    </w:rPr>
  </w:style>
  <w:style w:type="character" w:customStyle="1" w:styleId="231">
    <w:name w:val="样式 宋体 (符号) ISOCP 四号"/>
    <w:qFormat/>
    <w:uiPriority w:val="0"/>
    <w:rPr>
      <w:rFonts w:ascii="宋体" w:hAnsi="宋体"/>
      <w:kern w:val="0"/>
      <w:sz w:val="24"/>
    </w:rPr>
  </w:style>
  <w:style w:type="paragraph" w:customStyle="1" w:styleId="232">
    <w:name w:val="样式 宋体 四号 左 首行缩进:  0.85 厘米 紧缩量  0.3 磅 行距: 固定值 28 磅"/>
    <w:basedOn w:val="1"/>
    <w:qFormat/>
    <w:uiPriority w:val="0"/>
    <w:pPr>
      <w:ind w:firstLine="482"/>
      <w:jc w:val="left"/>
    </w:pPr>
    <w:rPr>
      <w:rFonts w:ascii="宋体" w:hAnsi="宋体" w:cs="宋体"/>
      <w:spacing w:val="-6"/>
      <w:kern w:val="0"/>
      <w:szCs w:val="20"/>
    </w:rPr>
  </w:style>
  <w:style w:type="paragraph" w:customStyle="1" w:styleId="233">
    <w:name w:val="样式 (符号) 宋体 四号 紧缩量  0.3 磅 行距: 固定值 28 磅 首行缩进:  2 字符"/>
    <w:basedOn w:val="1"/>
    <w:qFormat/>
    <w:uiPriority w:val="0"/>
    <w:pPr>
      <w:ind w:firstLine="200" w:firstLineChars="200"/>
    </w:pPr>
    <w:rPr>
      <w:rFonts w:hAnsi="宋体" w:cs="宋体"/>
      <w:spacing w:val="-6"/>
      <w:szCs w:val="20"/>
    </w:rPr>
  </w:style>
  <w:style w:type="paragraph" w:customStyle="1" w:styleId="234">
    <w:name w:val="样式 正文缩进二段1首行缩进正文不缩进正文缩进 Char特点 CharALT+Z水上软件表正文正文非缩进表..."/>
    <w:basedOn w:val="15"/>
    <w:qFormat/>
    <w:uiPriority w:val="0"/>
    <w:pPr>
      <w:spacing w:line="480" w:lineRule="exact"/>
      <w:ind w:firstLine="200"/>
    </w:pPr>
    <w:rPr>
      <w:rFonts w:ascii="宋体" w:hAnsi="宋体" w:cs="宋体"/>
      <w:spacing w:val="-6"/>
    </w:rPr>
  </w:style>
  <w:style w:type="paragraph" w:customStyle="1" w:styleId="235">
    <w:name w:val="样式 (符号) 宋体 四号 首行缩进:  1.01 厘米 紧缩量  0.3 磅 行距: 固定值 28 磅"/>
    <w:basedOn w:val="1"/>
    <w:qFormat/>
    <w:uiPriority w:val="0"/>
    <w:pPr>
      <w:ind w:firstLine="573"/>
    </w:pPr>
    <w:rPr>
      <w:rFonts w:hAnsi="宋体" w:cs="宋体"/>
      <w:spacing w:val="-6"/>
      <w:szCs w:val="20"/>
    </w:rPr>
  </w:style>
  <w:style w:type="paragraph" w:customStyle="1" w:styleId="236">
    <w:name w:val="样式 (符号) 宋体 四号 紧缩量  0.3 磅 行距: 固定值 28 磅"/>
    <w:basedOn w:val="1"/>
    <w:qFormat/>
    <w:uiPriority w:val="0"/>
    <w:rPr>
      <w:rFonts w:hAnsi="宋体" w:cs="宋体"/>
      <w:spacing w:val="-6"/>
      <w:szCs w:val="20"/>
    </w:rPr>
  </w:style>
  <w:style w:type="paragraph" w:customStyle="1" w:styleId="237">
    <w:name w:val="样式 宋体 四号 紧缩量  0.3 磅 行距: 固定值 28 磅 首行缩进:  1 字符"/>
    <w:basedOn w:val="1"/>
    <w:qFormat/>
    <w:uiPriority w:val="0"/>
    <w:pPr>
      <w:ind w:firstLine="100" w:firstLineChars="100"/>
    </w:pPr>
    <w:rPr>
      <w:rFonts w:ascii="宋体" w:hAnsi="宋体" w:cs="宋体"/>
      <w:spacing w:val="-6"/>
      <w:szCs w:val="20"/>
    </w:rPr>
  </w:style>
  <w:style w:type="paragraph" w:customStyle="1" w:styleId="238">
    <w:name w:val="样式 宋体 四号 左 紧缩量  0.3 磅 行距: 固定值 28 磅 首行缩进:  2 字符"/>
    <w:basedOn w:val="1"/>
    <w:qFormat/>
    <w:uiPriority w:val="0"/>
    <w:pPr>
      <w:ind w:firstLine="200" w:firstLineChars="200"/>
      <w:jc w:val="left"/>
    </w:pPr>
    <w:rPr>
      <w:rFonts w:ascii="宋体" w:hAnsi="宋体" w:cs="宋体"/>
      <w:spacing w:val="-6"/>
      <w:kern w:val="0"/>
      <w:szCs w:val="20"/>
    </w:rPr>
  </w:style>
  <w:style w:type="character" w:customStyle="1" w:styleId="239">
    <w:name w:val="样式 宋体 四号"/>
    <w:qFormat/>
    <w:uiPriority w:val="0"/>
    <w:rPr>
      <w:rFonts w:ascii="宋体" w:hAnsi="宋体"/>
      <w:sz w:val="24"/>
    </w:rPr>
  </w:style>
  <w:style w:type="character" w:customStyle="1" w:styleId="240">
    <w:name w:val="未处理的提及1"/>
    <w:unhideWhenUsed/>
    <w:qFormat/>
    <w:uiPriority w:val="99"/>
    <w:rPr>
      <w:color w:val="808080"/>
      <w:shd w:val="clear" w:color="auto" w:fill="E6E6E6"/>
    </w:rPr>
  </w:style>
  <w:style w:type="paragraph" w:customStyle="1" w:styleId="241">
    <w:name w:val="表格"/>
    <w:basedOn w:val="1"/>
    <w:qFormat/>
    <w:uiPriority w:val="0"/>
    <w:pPr>
      <w:tabs>
        <w:tab w:val="left" w:pos="907"/>
      </w:tabs>
      <w:adjustRightInd w:val="0"/>
      <w:snapToGrid w:val="0"/>
      <w:spacing w:line="240" w:lineRule="auto"/>
      <w:jc w:val="center"/>
    </w:pPr>
    <w:rPr>
      <w:sz w:val="21"/>
    </w:rPr>
  </w:style>
  <w:style w:type="paragraph" w:customStyle="1" w:styleId="242">
    <w:name w:val="新国展正文"/>
    <w:basedOn w:val="1"/>
    <w:qFormat/>
    <w:uiPriority w:val="0"/>
    <w:pPr>
      <w:adjustRightInd w:val="0"/>
      <w:snapToGrid w:val="0"/>
      <w:spacing w:afterLines="50" w:line="240" w:lineRule="auto"/>
      <w:ind w:firstLine="480" w:firstLineChars="200"/>
    </w:pPr>
    <w:rPr>
      <w:rFonts w:ascii="宋体" w:hAnsi="宋体"/>
    </w:rPr>
  </w:style>
  <w:style w:type="paragraph" w:customStyle="1" w:styleId="243">
    <w:name w:val="标题3"/>
    <w:basedOn w:val="5"/>
    <w:qFormat/>
    <w:uiPriority w:val="0"/>
    <w:pPr>
      <w:keepNext w:val="0"/>
      <w:keepLines w:val="0"/>
      <w:tabs>
        <w:tab w:val="left" w:pos="1920"/>
      </w:tabs>
      <w:adjustRightInd w:val="0"/>
      <w:snapToGrid w:val="0"/>
      <w:spacing w:before="0" w:after="0" w:line="440" w:lineRule="exact"/>
      <w:jc w:val="left"/>
    </w:pPr>
    <w:rPr>
      <w:rFonts w:hint="eastAsia" w:ascii="黑体" w:hAnsi="宋体"/>
      <w:bCs w:val="0"/>
      <w:kern w:val="10"/>
      <w:sz w:val="28"/>
      <w:lang w:val="zh-CN"/>
    </w:rPr>
  </w:style>
  <w:style w:type="character" w:customStyle="1" w:styleId="244">
    <w:name w:val="样式 宋体"/>
    <w:qFormat/>
    <w:uiPriority w:val="0"/>
    <w:rPr>
      <w:rFonts w:ascii="宋体" w:hAnsi="宋体" w:eastAsia="宋体"/>
      <w:sz w:val="21"/>
    </w:rPr>
  </w:style>
  <w:style w:type="paragraph" w:customStyle="1" w:styleId="245">
    <w:name w:val="样式 样式 样式 首行缩进:  2 字符 + 首行缩进:  2 字符 + 首行缩进:  2 字符1"/>
    <w:basedOn w:val="1"/>
    <w:qFormat/>
    <w:uiPriority w:val="0"/>
    <w:pPr>
      <w:adjustRightInd w:val="0"/>
      <w:snapToGrid w:val="0"/>
      <w:spacing w:line="312" w:lineRule="auto"/>
      <w:ind w:firstLine="480" w:firstLineChars="200"/>
    </w:pPr>
    <w:rPr>
      <w:rFonts w:eastAsia="华文中宋" w:cs="宋体"/>
      <w:snapToGrid w:val="0"/>
      <w:kern w:val="0"/>
      <w:szCs w:val="20"/>
    </w:rPr>
  </w:style>
  <w:style w:type="paragraph" w:customStyle="1" w:styleId="246">
    <w:name w:val="Char1"/>
    <w:basedOn w:val="1"/>
    <w:semiHidden/>
    <w:qFormat/>
    <w:uiPriority w:val="0"/>
    <w:pPr>
      <w:ind w:firstLine="600" w:firstLineChars="200"/>
      <w:jc w:val="center"/>
    </w:pPr>
    <w:rPr>
      <w:rFonts w:ascii="宋体"/>
      <w:sz w:val="30"/>
    </w:rPr>
  </w:style>
  <w:style w:type="paragraph" w:customStyle="1" w:styleId="247">
    <w:name w:val="Char Char1 Char Char"/>
    <w:basedOn w:val="1"/>
    <w:semiHidden/>
    <w:qFormat/>
    <w:uiPriority w:val="0"/>
    <w:pPr>
      <w:spacing w:line="240" w:lineRule="auto"/>
    </w:pPr>
    <w:rPr>
      <w:sz w:val="30"/>
    </w:rPr>
  </w:style>
  <w:style w:type="character" w:customStyle="1" w:styleId="248">
    <w:name w:val="列表段落 字符"/>
    <w:link w:val="171"/>
    <w:qFormat/>
    <w:uiPriority w:val="0"/>
    <w:rPr>
      <w:kern w:val="2"/>
      <w:sz w:val="24"/>
      <w:szCs w:val="24"/>
    </w:rPr>
  </w:style>
  <w:style w:type="character" w:customStyle="1" w:styleId="249">
    <w:name w:val="Unresolved Mention"/>
    <w:basedOn w:val="56"/>
    <w:unhideWhenUsed/>
    <w:qFormat/>
    <w:uiPriority w:val="99"/>
    <w:rPr>
      <w:color w:val="605E5C"/>
      <w:shd w:val="clear" w:color="auto" w:fill="E1DFDD"/>
    </w:rPr>
  </w:style>
  <w:style w:type="paragraph" w:customStyle="1" w:styleId="250">
    <w:name w:val="Body text|5"/>
    <w:basedOn w:val="1"/>
    <w:qFormat/>
    <w:uiPriority w:val="0"/>
    <w:rPr>
      <w:rFonts w:ascii="宋体" w:hAnsi="宋体" w:cs="宋体"/>
      <w:sz w:val="32"/>
      <w:szCs w:val="32"/>
      <w:lang w:val="zh-TW" w:eastAsia="zh-TW" w:bidi="zh-TW"/>
    </w:rPr>
  </w:style>
  <w:style w:type="paragraph" w:customStyle="1" w:styleId="251">
    <w:name w:val="标题1"/>
    <w:basedOn w:val="1"/>
    <w:next w:val="1"/>
    <w:qFormat/>
    <w:uiPriority w:val="0"/>
    <w:pPr>
      <w:adjustRightInd w:val="0"/>
      <w:snapToGrid w:val="0"/>
      <w:jc w:val="center"/>
      <w:outlineLvl w:val="0"/>
    </w:pPr>
    <w:rPr>
      <w:b/>
      <w:sz w:val="32"/>
    </w:rPr>
  </w:style>
  <w:style w:type="paragraph" w:customStyle="1" w:styleId="252">
    <w:name w:val="4标题四"/>
    <w:next w:val="253"/>
    <w:qFormat/>
    <w:uiPriority w:val="0"/>
    <w:pPr>
      <w:adjustRightInd w:val="0"/>
      <w:snapToGrid w:val="0"/>
      <w:spacing w:line="360" w:lineRule="auto"/>
      <w:jc w:val="both"/>
      <w:outlineLvl w:val="3"/>
    </w:pPr>
    <w:rPr>
      <w:rFonts w:ascii="宋体" w:hAnsi="宋体" w:eastAsia="宋体" w:cs="Times New Roman"/>
      <w:bCs/>
      <w:snapToGrid w:val="0"/>
      <w:sz w:val="24"/>
      <w:szCs w:val="24"/>
      <w:lang w:val="en-US" w:eastAsia="zh-CN" w:bidi="ar-SA"/>
    </w:rPr>
  </w:style>
  <w:style w:type="paragraph" w:customStyle="1" w:styleId="253">
    <w:name w:val="5正文5"/>
    <w:link w:val="266"/>
    <w:qFormat/>
    <w:uiPriority w:val="0"/>
    <w:pPr>
      <w:widowControl w:val="0"/>
      <w:autoSpaceDE w:val="0"/>
      <w:autoSpaceDN w:val="0"/>
      <w:adjustRightInd w:val="0"/>
      <w:snapToGrid w:val="0"/>
      <w:spacing w:line="360" w:lineRule="auto"/>
      <w:ind w:firstLine="200" w:firstLineChars="200"/>
      <w:jc w:val="both"/>
    </w:pPr>
    <w:rPr>
      <w:rFonts w:ascii="宋体" w:hAnsi="宋体" w:eastAsia="宋体" w:cs="Times New Roman"/>
      <w:snapToGrid w:val="0"/>
      <w:kern w:val="2"/>
      <w:sz w:val="24"/>
      <w:szCs w:val="24"/>
      <w:lang w:val="en-US" w:eastAsia="zh-CN" w:bidi="ar-SA"/>
    </w:rPr>
  </w:style>
  <w:style w:type="paragraph" w:customStyle="1" w:styleId="254">
    <w:name w:val="3标题3"/>
    <w:next w:val="252"/>
    <w:qFormat/>
    <w:uiPriority w:val="0"/>
    <w:pPr>
      <w:adjustRightInd w:val="0"/>
      <w:snapToGrid w:val="0"/>
      <w:spacing w:line="360" w:lineRule="auto"/>
      <w:jc w:val="both"/>
      <w:outlineLvl w:val="2"/>
    </w:pPr>
    <w:rPr>
      <w:rFonts w:ascii="宋体" w:hAnsi="宋体" w:eastAsia="宋体" w:cs="Times New Roman"/>
      <w:b/>
      <w:snapToGrid w:val="0"/>
      <w:kern w:val="2"/>
      <w:sz w:val="24"/>
      <w:szCs w:val="24"/>
      <w:lang w:val="en-US" w:eastAsia="zh-CN" w:bidi="ar-SA"/>
    </w:rPr>
  </w:style>
  <w:style w:type="paragraph" w:customStyle="1" w:styleId="255">
    <w:name w:val="6图片说明"/>
    <w:next w:val="253"/>
    <w:qFormat/>
    <w:uiPriority w:val="0"/>
    <w:pPr>
      <w:snapToGrid w:val="0"/>
      <w:jc w:val="center"/>
    </w:pPr>
    <w:rPr>
      <w:rFonts w:ascii="宋体" w:hAnsi="宋体" w:eastAsia="宋体" w:cs="Times New Roman"/>
      <w:b/>
      <w:kern w:val="2"/>
      <w:sz w:val="24"/>
      <w:szCs w:val="24"/>
      <w:lang w:val="en-US" w:eastAsia="zh-CN" w:bidi="ar-SA"/>
    </w:rPr>
  </w:style>
  <w:style w:type="paragraph" w:customStyle="1" w:styleId="256">
    <w:name w:val="7表格内容"/>
    <w:next w:val="253"/>
    <w:qFormat/>
    <w:uiPriority w:val="0"/>
    <w:pPr>
      <w:snapToGrid w:val="0"/>
      <w:jc w:val="center"/>
    </w:pPr>
    <w:rPr>
      <w:rFonts w:ascii="宋体" w:hAnsi="宋体" w:eastAsia="宋体" w:cs="Times New Roman"/>
      <w:kern w:val="2"/>
      <w:sz w:val="24"/>
      <w:szCs w:val="24"/>
      <w:lang w:val="en-US" w:eastAsia="zh-CN" w:bidi="ar-SA"/>
    </w:rPr>
  </w:style>
  <w:style w:type="table" w:customStyle="1" w:styleId="257">
    <w:name w:val="苏州 中心"/>
    <w:basedOn w:val="54"/>
    <w:qFormat/>
    <w:uiPriority w:val="99"/>
    <w:pPr>
      <w:spacing w:line="300" w:lineRule="exact"/>
      <w:jc w:val="both"/>
    </w:pPr>
    <w:rPr>
      <w:rFonts w:ascii="宋体" w:hAnsi="Calibri"/>
      <w:sz w:val="21"/>
    </w:rPr>
    <w:tblPr>
      <w:jc w:val="center"/>
      <w:tblBorders>
        <w:top w:val="single" w:color="3399FF" w:sz="8" w:space="0"/>
        <w:left w:val="single" w:color="3399FF" w:sz="8" w:space="0"/>
        <w:bottom w:val="single" w:color="3399FF" w:sz="8" w:space="0"/>
        <w:right w:val="single" w:color="3399FF" w:sz="8" w:space="0"/>
        <w:insideH w:val="single" w:color="3399FF" w:sz="6" w:space="0"/>
        <w:insideV w:val="single" w:color="3399FF" w:sz="6" w:space="0"/>
      </w:tblBorders>
      <w:tblCellMar>
        <w:top w:w="85" w:type="dxa"/>
        <w:left w:w="57" w:type="dxa"/>
        <w:bottom w:w="85" w:type="dxa"/>
        <w:right w:w="57" w:type="dxa"/>
      </w:tblCellMar>
    </w:tblPr>
    <w:trPr>
      <w:jc w:val="center"/>
    </w:trPr>
    <w:tcPr>
      <w:shd w:val="clear" w:color="auto" w:fill="FFFFFF" w:themeFill="background1"/>
      <w:vAlign w:val="center"/>
    </w:tcPr>
    <w:tblStylePr w:type="firstRow">
      <w:pPr>
        <w:jc w:val="center"/>
      </w:pPr>
      <w:rPr>
        <w:rFonts w:eastAsia="宋体"/>
        <w:sz w:val="21"/>
      </w:rPr>
      <w:tblPr/>
      <w:trPr>
        <w:tblHeader/>
      </w:trPr>
      <w:tcPr>
        <w:shd w:val="clear" w:color="auto" w:fill="87CEEB"/>
      </w:tcPr>
    </w:tblStylePr>
    <w:tblStylePr w:type="firstCol">
      <w:pPr>
        <w:jc w:val="center"/>
      </w:pPr>
    </w:tblStylePr>
  </w:style>
  <w:style w:type="paragraph" w:customStyle="1" w:styleId="258">
    <w:name w:val="6 图表名"/>
    <w:basedOn w:val="1"/>
    <w:next w:val="259"/>
    <w:qFormat/>
    <w:uiPriority w:val="0"/>
    <w:pPr>
      <w:autoSpaceDE w:val="0"/>
      <w:autoSpaceDN w:val="0"/>
      <w:adjustRightInd w:val="0"/>
      <w:spacing w:line="360" w:lineRule="auto"/>
      <w:jc w:val="center"/>
    </w:pPr>
    <w:rPr>
      <w:rFonts w:asciiTheme="minorEastAsia" w:hAnsiTheme="minorEastAsia"/>
      <w:kern w:val="0"/>
    </w:rPr>
  </w:style>
  <w:style w:type="paragraph" w:customStyle="1" w:styleId="259">
    <w:name w:val="5 正文"/>
    <w:basedOn w:val="1"/>
    <w:next w:val="1"/>
    <w:qFormat/>
    <w:uiPriority w:val="0"/>
    <w:pPr>
      <w:autoSpaceDE w:val="0"/>
      <w:autoSpaceDN w:val="0"/>
      <w:adjustRightInd w:val="0"/>
      <w:spacing w:line="360" w:lineRule="auto"/>
      <w:ind w:firstLine="200" w:firstLineChars="200"/>
    </w:pPr>
    <w:rPr>
      <w:rFonts w:asciiTheme="minorEastAsia" w:hAnsiTheme="minorEastAsia"/>
      <w:kern w:val="0"/>
    </w:rPr>
  </w:style>
  <w:style w:type="paragraph" w:customStyle="1" w:styleId="260">
    <w:name w:val="样式 环球正文1"/>
    <w:basedOn w:val="1"/>
    <w:qFormat/>
    <w:uiPriority w:val="0"/>
    <w:pPr>
      <w:spacing w:line="360" w:lineRule="auto"/>
      <w:ind w:firstLine="480" w:firstLineChars="200"/>
    </w:pPr>
    <w:rPr>
      <w:rFonts w:ascii="宋体" w:cs="宋体"/>
    </w:rPr>
  </w:style>
  <w:style w:type="paragraph" w:customStyle="1" w:styleId="261">
    <w:name w:val="图片"/>
    <w:basedOn w:val="1"/>
    <w:next w:val="262"/>
    <w:qFormat/>
    <w:uiPriority w:val="0"/>
    <w:pPr>
      <w:spacing w:line="360" w:lineRule="auto"/>
      <w:jc w:val="center"/>
    </w:pPr>
  </w:style>
  <w:style w:type="paragraph" w:customStyle="1" w:styleId="262">
    <w:name w:val="正文11"/>
    <w:basedOn w:val="23"/>
    <w:semiHidden/>
    <w:qFormat/>
    <w:uiPriority w:val="0"/>
    <w:pPr>
      <w:tabs>
        <w:tab w:val="right" w:leader="underscore" w:pos="1701"/>
      </w:tabs>
      <w:spacing w:line="360" w:lineRule="auto"/>
      <w:ind w:left="1260" w:leftChars="50" w:hanging="1120" w:hangingChars="400"/>
    </w:pPr>
    <w:rPr>
      <w:spacing w:val="20"/>
      <w:szCs w:val="24"/>
    </w:rPr>
  </w:style>
  <w:style w:type="paragraph" w:customStyle="1" w:styleId="263">
    <w:name w:val="7 表格正文"/>
    <w:basedOn w:val="1"/>
    <w:qFormat/>
    <w:uiPriority w:val="0"/>
    <w:pPr>
      <w:autoSpaceDE w:val="0"/>
      <w:autoSpaceDN w:val="0"/>
      <w:adjustRightInd w:val="0"/>
      <w:spacing w:line="300" w:lineRule="exact"/>
      <w:jc w:val="left"/>
    </w:pPr>
    <w:rPr>
      <w:rFonts w:ascii="宋体" w:hAnsi="Calibri"/>
      <w:kern w:val="0"/>
      <w:sz w:val="21"/>
    </w:rPr>
  </w:style>
  <w:style w:type="paragraph" w:customStyle="1" w:styleId="264">
    <w:name w:val="11正文"/>
    <w:qFormat/>
    <w:uiPriority w:val="0"/>
    <w:pPr>
      <w:widowControl w:val="0"/>
      <w:adjustRightInd w:val="0"/>
      <w:snapToGrid w:val="0"/>
      <w:ind w:firstLine="200" w:firstLineChars="200"/>
      <w:jc w:val="both"/>
    </w:pPr>
    <w:rPr>
      <w:rFonts w:ascii="宋体" w:hAnsi="宋体" w:eastAsia="宋体" w:cs="Times New Roman"/>
      <w:snapToGrid w:val="0"/>
      <w:sz w:val="24"/>
      <w:szCs w:val="24"/>
      <w:lang w:val="en-US" w:eastAsia="zh-CN" w:bidi="ar-SA"/>
    </w:rPr>
  </w:style>
  <w:style w:type="paragraph" w:customStyle="1" w:styleId="265">
    <w:name w:val="p0"/>
    <w:basedOn w:val="1"/>
    <w:qFormat/>
    <w:uiPriority w:val="0"/>
    <w:pPr>
      <w:widowControl/>
    </w:pPr>
    <w:rPr>
      <w:rFonts w:ascii="Calibri" w:hAnsi="Calibri" w:cs="宋体"/>
      <w:kern w:val="0"/>
      <w:sz w:val="21"/>
      <w:szCs w:val="21"/>
    </w:rPr>
  </w:style>
  <w:style w:type="character" w:customStyle="1" w:styleId="266">
    <w:name w:val="5正文5 Char"/>
    <w:link w:val="253"/>
    <w:qFormat/>
    <w:uiPriority w:val="0"/>
    <w:rPr>
      <w:rFonts w:ascii="宋体" w:hAnsi="宋体" w:eastAsia="宋体" w:cs="Times New Roman"/>
      <w:snapToGrid w:val="0"/>
      <w:kern w:val="2"/>
      <w:sz w:val="24"/>
      <w:szCs w:val="24"/>
      <w:lang w:val="en-US" w:eastAsia="zh-CN" w:bidi="ar-SA"/>
    </w:rPr>
  </w:style>
  <w:style w:type="paragraph" w:customStyle="1" w:styleId="267">
    <w:name w:val="_A三级目录"/>
    <w:basedOn w:val="1"/>
    <w:qFormat/>
    <w:uiPriority w:val="0"/>
    <w:pPr>
      <w:widowControl/>
      <w:spacing w:line="360" w:lineRule="auto"/>
      <w:ind w:firstLine="482"/>
      <w:jc w:val="center"/>
      <w:outlineLvl w:val="2"/>
    </w:pPr>
    <w:rPr>
      <w:rFonts w:hAnsi="宋体"/>
      <w:b/>
      <w:bCs/>
      <w:color w:val="000000"/>
    </w:rPr>
  </w:style>
  <w:style w:type="paragraph" w:customStyle="1" w:styleId="268">
    <w:name w:val="_A正文"/>
    <w:basedOn w:val="1"/>
    <w:qFormat/>
    <w:uiPriority w:val="0"/>
    <w:pPr>
      <w:widowControl/>
      <w:spacing w:line="360" w:lineRule="auto"/>
      <w:jc w:val="left"/>
    </w:pPr>
    <w:rPr>
      <w:rFonts w:hAnsi="宋体"/>
      <w:color w:val="000000"/>
    </w:rPr>
  </w:style>
  <w:style w:type="paragraph" w:customStyle="1" w:styleId="269">
    <w:name w:val="_A表头"/>
    <w:basedOn w:val="1"/>
    <w:qFormat/>
    <w:uiPriority w:val="0"/>
    <w:pPr>
      <w:widowControl/>
      <w:spacing w:beforeLines="50" w:line="360" w:lineRule="auto"/>
      <w:jc w:val="center"/>
    </w:pPr>
    <w:rPr>
      <w:rFonts w:hAnsi="宋体"/>
      <w:b/>
      <w:bCs/>
      <w:color w:val="000000"/>
    </w:rPr>
  </w:style>
  <w:style w:type="paragraph" w:customStyle="1" w:styleId="270">
    <w:name w:val="Table Paragraph"/>
    <w:basedOn w:val="1"/>
    <w:qFormat/>
    <w:uiPriority w:val="1"/>
    <w:rPr>
      <w:rFonts w:ascii="宋体" w:hAnsi="宋体" w:cs="宋体"/>
      <w:lang w:val="zh-CN" w:bidi="zh-CN"/>
    </w:rPr>
  </w:style>
  <w:style w:type="paragraph" w:customStyle="1" w:styleId="271">
    <w:name w:val="_A四级标题"/>
    <w:basedOn w:val="1"/>
    <w:qFormat/>
    <w:uiPriority w:val="0"/>
    <w:pPr>
      <w:widowControl/>
      <w:spacing w:line="360" w:lineRule="auto"/>
      <w:ind w:firstLine="482"/>
      <w:jc w:val="left"/>
    </w:pPr>
    <w:rPr>
      <w:rFonts w:hAnsi="宋体"/>
      <w:b/>
      <w:bCs/>
      <w:color w:val="000000"/>
    </w:rPr>
  </w:style>
  <w:style w:type="paragraph" w:customStyle="1" w:styleId="272">
    <w:name w:val="_A表题"/>
    <w:basedOn w:val="1"/>
    <w:qFormat/>
    <w:uiPriority w:val="0"/>
    <w:pPr>
      <w:widowControl/>
      <w:spacing w:line="240" w:lineRule="auto"/>
      <w:jc w:val="center"/>
    </w:pPr>
    <w:rPr>
      <w:rFonts w:hAnsi="宋体"/>
      <w:b/>
      <w:bCs/>
      <w:color w:val="000000"/>
    </w:rPr>
  </w:style>
  <w:style w:type="paragraph" w:customStyle="1" w:styleId="273">
    <w:name w:val="表格居中1"/>
    <w:basedOn w:val="177"/>
    <w:qFormat/>
    <w:uiPriority w:val="0"/>
    <w:rPr>
      <w:rFonts w:hAnsi="Times New Roman" w:cs="宋体"/>
      <w:szCs w:val="20"/>
    </w:rPr>
  </w:style>
  <w:style w:type="paragraph" w:customStyle="1" w:styleId="274">
    <w:name w:val="表格靠左"/>
    <w:basedOn w:val="1"/>
    <w:qFormat/>
    <w:uiPriority w:val="0"/>
    <w:pPr>
      <w:adjustRightInd w:val="0"/>
      <w:snapToGrid w:val="0"/>
      <w:spacing w:line="360" w:lineRule="auto"/>
      <w:ind w:firstLine="0" w:firstLineChars="0"/>
      <w:jc w:val="left"/>
    </w:pPr>
    <w:rPr>
      <w:sz w:val="21"/>
      <w:szCs w:val="24"/>
    </w:rPr>
  </w:style>
  <w:style w:type="paragraph" w:customStyle="1" w:styleId="275">
    <w:name w:val="苏州"/>
    <w:basedOn w:val="276"/>
    <w:qFormat/>
    <w:uiPriority w:val="0"/>
    <w:pPr>
      <w:spacing w:before="0" w:beforeLines="0" w:line="240" w:lineRule="auto"/>
      <w:ind w:left="0" w:firstLine="0" w:firstLineChars="0"/>
      <w:jc w:val="center"/>
    </w:pPr>
    <w:rPr>
      <w:sz w:val="21"/>
      <w:szCs w:val="21"/>
    </w:rPr>
  </w:style>
  <w:style w:type="paragraph" w:customStyle="1" w:styleId="276">
    <w:name w:val="技术标正文"/>
    <w:basedOn w:val="1"/>
    <w:qFormat/>
    <w:uiPriority w:val="0"/>
    <w:pPr>
      <w:spacing w:before="65" w:beforeLines="20" w:line="360" w:lineRule="auto"/>
      <w:ind w:left="960" w:hanging="960" w:hangingChars="400"/>
      <w:jc w:val="left"/>
    </w:pPr>
    <w:rPr>
      <w:rFonts w:cs="Times New Roman"/>
      <w:szCs w:val="28"/>
    </w:rPr>
  </w:style>
  <w:style w:type="paragraph" w:customStyle="1" w:styleId="277">
    <w:name w:val="土城正文"/>
    <w:basedOn w:val="10"/>
    <w:qFormat/>
    <w:uiPriority w:val="0"/>
    <w:pPr>
      <w:ind w:firstLine="480"/>
    </w:pPr>
    <w:rPr>
      <w:rFonts w:ascii="宋体" w:eastAsia="宋体"/>
      <w:sz w:val="24"/>
    </w:rPr>
  </w:style>
  <w:style w:type="character" w:customStyle="1" w:styleId="278">
    <w:name w:val="15"/>
    <w:basedOn w:val="56"/>
    <w:qFormat/>
    <w:uiPriority w:val="0"/>
    <w:rPr>
      <w:rFonts w:hint="eastAsia" w:ascii="宋体" w:hAnsi="宋体" w:eastAsia="宋体"/>
      <w:kern w:val="2"/>
      <w:sz w:val="24"/>
      <w:szCs w:val="24"/>
    </w:rPr>
  </w:style>
  <w:style w:type="paragraph" w:customStyle="1" w:styleId="279">
    <w:name w:val="顾1"/>
    <w:basedOn w:val="135"/>
    <w:qFormat/>
    <w:uiPriority w:val="0"/>
    <w:pPr>
      <w:tabs>
        <w:tab w:val="left" w:pos="425"/>
      </w:tabs>
      <w:spacing w:line="360" w:lineRule="auto"/>
      <w:ind w:firstLine="0"/>
    </w:pPr>
    <w:rPr>
      <w:sz w:val="36"/>
      <w:szCs w:val="32"/>
    </w:rPr>
  </w:style>
  <w:style w:type="character" w:customStyle="1" w:styleId="280">
    <w:name w:val="font41"/>
    <w:basedOn w:val="56"/>
    <w:qFormat/>
    <w:uiPriority w:val="0"/>
    <w:rPr>
      <w:rFonts w:hint="eastAsia" w:ascii="宋体" w:hAnsi="宋体" w:eastAsia="宋体" w:cs="宋体"/>
      <w:b/>
      <w:bCs/>
      <w:color w:val="000000"/>
      <w:sz w:val="24"/>
      <w:szCs w:val="24"/>
      <w:u w:val="none"/>
    </w:rPr>
  </w:style>
  <w:style w:type="character" w:customStyle="1" w:styleId="281">
    <w:name w:val="font112"/>
    <w:basedOn w:val="56"/>
    <w:qFormat/>
    <w:uiPriority w:val="0"/>
    <w:rPr>
      <w:rFonts w:ascii="Arial" w:hAnsi="Arial" w:cs="Arial"/>
      <w:b/>
      <w:bCs/>
      <w:color w:val="000000"/>
      <w:sz w:val="24"/>
      <w:szCs w:val="24"/>
      <w:u w:val="none"/>
    </w:rPr>
  </w:style>
  <w:style w:type="character" w:customStyle="1" w:styleId="282">
    <w:name w:val="font21"/>
    <w:basedOn w:val="56"/>
    <w:qFormat/>
    <w:uiPriority w:val="0"/>
    <w:rPr>
      <w:rFonts w:hint="eastAsia" w:ascii="宋体" w:hAnsi="宋体" w:eastAsia="宋体" w:cs="宋体"/>
      <w:color w:val="000000"/>
      <w:sz w:val="24"/>
      <w:szCs w:val="24"/>
      <w:u w:val="none"/>
    </w:rPr>
  </w:style>
  <w:style w:type="character" w:customStyle="1" w:styleId="283">
    <w:name w:val="font61"/>
    <w:basedOn w:val="56"/>
    <w:qFormat/>
    <w:uiPriority w:val="0"/>
    <w:rPr>
      <w:rFonts w:hint="eastAsia" w:ascii="宋体" w:hAnsi="宋体" w:eastAsia="宋体" w:cs="宋体"/>
      <w:color w:val="FF0000"/>
      <w:sz w:val="24"/>
      <w:szCs w:val="24"/>
      <w:u w:val="none"/>
    </w:rPr>
  </w:style>
  <w:style w:type="paragraph" w:customStyle="1" w:styleId="284">
    <w:name w:val="Body text|1"/>
    <w:basedOn w:val="1"/>
    <w:qFormat/>
    <w:uiPriority w:val="0"/>
    <w:pPr>
      <w:spacing w:line="341" w:lineRule="auto"/>
    </w:pPr>
    <w:rPr>
      <w:sz w:val="20"/>
      <w:szCs w:val="20"/>
      <w:lang w:val="zh-TW" w:eastAsia="zh-TW" w:bidi="zh-TW"/>
    </w:rPr>
  </w:style>
  <w:style w:type="paragraph" w:customStyle="1" w:styleId="285">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86">
    <w:name w:val="文本框字体"/>
    <w:qFormat/>
    <w:uiPriority w:val="0"/>
    <w:pPr>
      <w:widowControl w:val="0"/>
      <w:jc w:val="center"/>
    </w:pPr>
    <w:rPr>
      <w:rFonts w:ascii="宋体" w:hAnsi="宋体" w:eastAsia="宋体" w:cs="Times New Roman"/>
      <w:kern w:val="28"/>
      <w:sz w:val="21"/>
      <w:szCs w:val="20"/>
      <w:lang w:val="en-US" w:eastAsia="zh-CN" w:bidi="ar-SA"/>
    </w:rPr>
  </w:style>
  <w:style w:type="character" w:customStyle="1" w:styleId="287">
    <w:name w:val="标题 3 字符"/>
    <w:link w:val="5"/>
    <w:qFormat/>
    <w:uiPriority w:val="0"/>
    <w:rPr>
      <w:rFonts w:ascii="Times New Roman" w:hAnsi="Times New Roman" w:eastAsia="宋体"/>
      <w:b/>
      <w:sz w:val="24"/>
    </w:rPr>
  </w:style>
  <w:style w:type="paragraph" w:customStyle="1" w:styleId="288">
    <w:name w:val="表格内字体"/>
    <w:basedOn w:val="1"/>
    <w:qFormat/>
    <w:uiPriority w:val="0"/>
    <w:pPr>
      <w:widowControl/>
      <w:spacing w:line="240" w:lineRule="auto"/>
      <w:ind w:firstLine="0" w:firstLineChars="0"/>
      <w:jc w:val="center"/>
    </w:pPr>
    <w:rPr>
      <w:sz w:val="21"/>
    </w:rPr>
  </w:style>
  <w:style w:type="character" w:customStyle="1" w:styleId="289">
    <w:name w:val="正文文本 字符1"/>
    <w:link w:val="22"/>
    <w:qFormat/>
    <w:uiPriority w:val="1"/>
    <w:rPr>
      <w:szCs w:val="24"/>
    </w:rPr>
  </w:style>
  <w:style w:type="character" w:customStyle="1" w:styleId="290">
    <w:name w:val="标题 5 字符"/>
    <w:link w:val="7"/>
    <w:qFormat/>
    <w:uiPriority w:val="1"/>
    <w:rPr>
      <w:rFonts w:ascii="宋体" w:hAnsi="宋体" w:eastAsia="宋体"/>
      <w:b/>
      <w:bCs/>
      <w:szCs w:val="24"/>
    </w:rPr>
  </w:style>
  <w:style w:type="paragraph" w:customStyle="1" w:styleId="291">
    <w:name w:val="表图居中文字"/>
    <w:qFormat/>
    <w:uiPriority w:val="0"/>
    <w:pPr>
      <w:spacing w:line="240" w:lineRule="auto"/>
      <w:jc w:val="center"/>
    </w:pPr>
    <w:rPr>
      <w:rFonts w:hint="eastAsia" w:ascii="Calibri" w:hAnsi="Calibri" w:eastAsia="宋体" w:cstheme="minorBidi"/>
      <w:color w:val="auto"/>
      <w:sz w:val="21"/>
    </w:rPr>
  </w:style>
  <w:style w:type="paragraph" w:customStyle="1" w:styleId="292">
    <w:name w:val="表头加粗"/>
    <w:qFormat/>
    <w:uiPriority w:val="0"/>
    <w:pPr>
      <w:spacing w:line="240" w:lineRule="auto"/>
      <w:jc w:val="center"/>
    </w:pPr>
    <w:rPr>
      <w:rFonts w:hint="eastAsia" w:ascii="Calibri" w:hAnsi="Calibri" w:eastAsia="宋体" w:cstheme="minorBidi"/>
      <w:b/>
    </w:rPr>
  </w:style>
  <w:style w:type="paragraph" w:customStyle="1" w:styleId="293">
    <w:name w:val="Table Text"/>
    <w:basedOn w:val="1"/>
    <w:semiHidden/>
    <w:qFormat/>
    <w:uiPriority w:val="0"/>
    <w:rPr>
      <w:rFonts w:ascii="宋体" w:hAnsi="宋体" w:eastAsia="宋体" w:cs="宋体"/>
      <w:sz w:val="24"/>
      <w:szCs w:val="24"/>
      <w:lang w:val="en-US" w:eastAsia="en-US" w:bidi="ar-SA"/>
    </w:rPr>
  </w:style>
  <w:style w:type="table" w:customStyle="1" w:styleId="294">
    <w:name w:val="Table Normal"/>
    <w:unhideWhenUsed/>
    <w:qFormat/>
    <w:uiPriority w:val="0"/>
    <w:tblPr>
      <w:tblCellMar>
        <w:top w:w="0" w:type="dxa"/>
        <w:left w:w="0" w:type="dxa"/>
        <w:bottom w:w="0" w:type="dxa"/>
        <w:right w:w="0" w:type="dxa"/>
      </w:tblCellMar>
    </w:tblPr>
  </w:style>
  <w:style w:type="character" w:customStyle="1" w:styleId="295">
    <w:name w:val="正文文本 字符"/>
    <w:qFormat/>
    <w:uiPriority w:val="1"/>
    <w:rPr>
      <w:rFonts w:ascii="宋体" w:hAnsi="宋体" w:eastAsia="宋体" w:cs="宋体"/>
      <w:sz w:val="24"/>
      <w:szCs w:val="24"/>
      <w:lang w:val="zh-CN" w:eastAsia="zh-CN" w:bidi="zh-CN"/>
    </w:rPr>
  </w:style>
  <w:style w:type="table" w:customStyle="1" w:styleId="296">
    <w:name w:val="cscec3"/>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7">
    <w:name w:val="表中字"/>
    <w:basedOn w:val="285"/>
    <w:next w:val="285"/>
    <w:qFormat/>
    <w:uiPriority w:val="0"/>
    <w:pPr>
      <w:spacing w:line="240" w:lineRule="auto"/>
      <w:ind w:firstLine="0" w:firstLineChars="0"/>
      <w:jc w:val="center"/>
    </w:pPr>
    <w:rPr>
      <w:sz w:val="21"/>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footer" Target="footer3.xml"/><Relationship Id="rId89" Type="http://schemas.openxmlformats.org/officeDocument/2006/relationships/customXml" Target="../customXml/item1.xml"/><Relationship Id="rId88" Type="http://schemas.openxmlformats.org/officeDocument/2006/relationships/image" Target="media/image78.jpeg"/><Relationship Id="rId87" Type="http://schemas.openxmlformats.org/officeDocument/2006/relationships/image" Target="media/image77.jpeg"/><Relationship Id="rId86" Type="http://schemas.openxmlformats.org/officeDocument/2006/relationships/image" Target="media/image76.jpeg"/><Relationship Id="rId85" Type="http://schemas.openxmlformats.org/officeDocument/2006/relationships/image" Target="media/image75.jpeg"/><Relationship Id="rId84" Type="http://schemas.openxmlformats.org/officeDocument/2006/relationships/image" Target="media/image74.jpeg"/><Relationship Id="rId83" Type="http://schemas.openxmlformats.org/officeDocument/2006/relationships/image" Target="media/image73.jpeg"/><Relationship Id="rId82" Type="http://schemas.openxmlformats.org/officeDocument/2006/relationships/image" Target="media/image72.jpeg"/><Relationship Id="rId81" Type="http://schemas.openxmlformats.org/officeDocument/2006/relationships/image" Target="media/image71.jpeg"/><Relationship Id="rId80" Type="http://schemas.openxmlformats.org/officeDocument/2006/relationships/image" Target="media/image70.jpeg"/><Relationship Id="rId8" Type="http://schemas.openxmlformats.org/officeDocument/2006/relationships/header" Target="header2.xml"/><Relationship Id="rId79" Type="http://schemas.openxmlformats.org/officeDocument/2006/relationships/image" Target="media/image69.jpeg"/><Relationship Id="rId78" Type="http://schemas.openxmlformats.org/officeDocument/2006/relationships/image" Target="media/image68.jpeg"/><Relationship Id="rId77" Type="http://schemas.openxmlformats.org/officeDocument/2006/relationships/image" Target="media/image67.jpeg"/><Relationship Id="rId76" Type="http://schemas.openxmlformats.org/officeDocument/2006/relationships/image" Target="media/image66.jpeg"/><Relationship Id="rId75" Type="http://schemas.openxmlformats.org/officeDocument/2006/relationships/image" Target="media/image65.jpeg"/><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image" Target="media/image62.jpeg"/><Relationship Id="rId71" Type="http://schemas.openxmlformats.org/officeDocument/2006/relationships/image" Target="media/image61.png"/><Relationship Id="rId70" Type="http://schemas.openxmlformats.org/officeDocument/2006/relationships/image" Target="media/image60.png"/><Relationship Id="rId7" Type="http://schemas.openxmlformats.org/officeDocument/2006/relationships/footer" Target="footer2.xml"/><Relationship Id="rId69" Type="http://schemas.openxmlformats.org/officeDocument/2006/relationships/image" Target="media/image59.pn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jpeg"/><Relationship Id="rId61" Type="http://schemas.openxmlformats.org/officeDocument/2006/relationships/image" Target="media/image51.jpe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jpeg"/><Relationship Id="rId57" Type="http://schemas.openxmlformats.org/officeDocument/2006/relationships/image" Target="media/image47.jpeg"/><Relationship Id="rId56" Type="http://schemas.openxmlformats.org/officeDocument/2006/relationships/image" Target="media/image46.jpeg"/><Relationship Id="rId55" Type="http://schemas.openxmlformats.org/officeDocument/2006/relationships/image" Target="media/image45.png"/><Relationship Id="rId54" Type="http://schemas.openxmlformats.org/officeDocument/2006/relationships/image" Target="media/image44.jpe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jpeg"/><Relationship Id="rId50" Type="http://schemas.openxmlformats.org/officeDocument/2006/relationships/image" Target="media/image40.png"/><Relationship Id="rId5" Type="http://schemas.openxmlformats.org/officeDocument/2006/relationships/header" Target="header1.xml"/><Relationship Id="rId49" Type="http://schemas.openxmlformats.org/officeDocument/2006/relationships/image" Target="media/image39.jpe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jpe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jpeg"/><Relationship Id="rId4" Type="http://schemas.openxmlformats.org/officeDocument/2006/relationships/endnotes" Target="endnotes.xml"/><Relationship Id="rId39" Type="http://schemas.openxmlformats.org/officeDocument/2006/relationships/image" Target="media/image29.jpe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bmp"/><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pn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76</Pages>
  <Words>8797</Words>
  <Characters>10383</Characters>
  <Lines>1134</Lines>
  <Paragraphs>319</Paragraphs>
  <TotalTime>14</TotalTime>
  <ScaleCrop>false</ScaleCrop>
  <LinksUpToDate>false</LinksUpToDate>
  <CharactersWithSpaces>10777</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2022-10-27T17:54:00Z</dcterms:created>
  <dc:creator>林如满</dc:creator>
  <cp:lastModifiedBy>yu</cp:lastModifiedBy>
  <cp:lastPrinted>2020-12-29T17:39:00Z</cp:lastPrinted>
  <dcterms:modified xsi:type="dcterms:W3CDTF">2025-02-13T17:39:40Z</dcterms:modified>
  <dc:title>目  录</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E9F2E58C43364756905373FE78CBD6C4_13</vt:lpwstr>
  </property>
</Properties>
</file>